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highlight w:val="none"/>
        </w:rPr>
      </w:pPr>
    </w:p>
    <w:p>
      <w:pPr>
        <w:jc w:val="center"/>
        <w:rPr>
          <w:highlight w:val="none"/>
        </w:rPr>
      </w:pPr>
    </w:p>
    <w:p>
      <w:pPr>
        <w:rPr>
          <w:rFonts w:hint="eastAsia" w:ascii="宋体" w:hAnsi="宋体"/>
        </w:rPr>
      </w:pPr>
      <w:bookmarkStart w:id="0" w:name="_Toc102813319"/>
      <w:bookmarkStart w:id="1" w:name="_Toc85209825"/>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楷体" w:hAnsi="楷体" w:eastAsia="楷体" w:cs="楷体"/>
          <w:b w:val="0"/>
          <w:bCs/>
          <w:sz w:val="44"/>
          <w:szCs w:val="44"/>
        </w:rPr>
      </w:pPr>
      <w:r>
        <w:rPr>
          <w:rFonts w:hint="eastAsia" w:ascii="楷体" w:hAnsi="楷体" w:eastAsia="楷体" w:cs="楷体"/>
          <w:b w:val="0"/>
          <w:bCs/>
          <w:sz w:val="44"/>
          <w:szCs w:val="44"/>
        </w:rPr>
        <w:t>中华人民共和国海事局</w:t>
      </w:r>
    </w:p>
    <w:p>
      <w:pPr>
        <w:jc w:val="cente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b/>
          <w:sz w:val="52"/>
          <w:szCs w:val="52"/>
        </w:rPr>
      </w:pPr>
      <w:r>
        <w:rPr>
          <w:rFonts w:hint="eastAsia" w:ascii="宋体" w:hAnsi="宋体"/>
          <w:b/>
          <w:sz w:val="52"/>
          <w:szCs w:val="52"/>
        </w:rPr>
        <w:t>船舶与海上设施法定检验技术规则</w:t>
      </w:r>
    </w:p>
    <w:p>
      <w:pPr>
        <w:jc w:val="center"/>
        <w:rPr>
          <w:rFonts w:hint="eastAsia" w:ascii="宋体" w:hAnsi="宋体"/>
        </w:rPr>
      </w:pPr>
    </w:p>
    <w:p>
      <w:pPr>
        <w:jc w:val="center"/>
        <w:rPr>
          <w:rFonts w:hint="eastAsia" w:ascii="宋体" w:hAnsi="宋体" w:eastAsia="宋体" w:cs="宋体"/>
          <w:sz w:val="44"/>
          <w:szCs w:val="44"/>
        </w:rPr>
      </w:pPr>
      <w:r>
        <w:rPr>
          <w:rFonts w:hint="eastAsia" w:ascii="宋体" w:hAnsi="宋体" w:eastAsia="宋体" w:cs="宋体"/>
          <w:sz w:val="44"/>
          <w:szCs w:val="44"/>
        </w:rPr>
        <w:t>国际航行海船法定检验技术规则</w:t>
      </w:r>
    </w:p>
    <w:p>
      <w:pPr>
        <w:jc w:val="center"/>
        <w:rPr>
          <w:rFonts w:hint="eastAsia" w:ascii="宋体" w:hAnsi="宋体" w:eastAsia="宋体" w:cs="宋体"/>
          <w:sz w:val="21"/>
          <w:szCs w:val="21"/>
        </w:rPr>
      </w:pPr>
    </w:p>
    <w:p>
      <w:pPr>
        <w:jc w:val="center"/>
        <w:rPr>
          <w:rFonts w:hint="eastAsia" w:ascii="宋体" w:hAnsi="宋体" w:eastAsia="宋体" w:cs="宋体"/>
          <w:b/>
          <w:bCs/>
          <w:sz w:val="44"/>
          <w:szCs w:val="44"/>
        </w:rPr>
      </w:pPr>
      <w:r>
        <w:rPr>
          <w:rFonts w:hint="eastAsia" w:ascii="宋体" w:hAnsi="宋体" w:eastAsia="宋体" w:cs="宋体"/>
          <w:b/>
          <w:bCs/>
          <w:sz w:val="44"/>
          <w:szCs w:val="44"/>
        </w:rPr>
        <w:t>2022年修改通报</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bookmarkEnd w:id="0"/>
    <w:bookmarkEnd w:id="1"/>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sz w:val="32"/>
          <w:szCs w:val="32"/>
          <w:lang w:val="zh-CN"/>
        </w:rPr>
      </w:pPr>
      <w:r>
        <w:rPr>
          <w:rFonts w:hint="eastAsia" w:ascii="宋体" w:hAnsi="宋体" w:eastAsia="宋体" w:cs="宋体"/>
          <w:b/>
          <w:sz w:val="32"/>
          <w:szCs w:val="32"/>
          <w:lang w:val="zh-CN"/>
        </w:rPr>
        <w:t>第 4 篇 船舶安全</w:t>
      </w:r>
    </w:p>
    <w:p>
      <w:pPr>
        <w:autoSpaceDE w:val="0"/>
        <w:autoSpaceDN w:val="0"/>
        <w:adjustRightInd w:val="0"/>
        <w:jc w:val="center"/>
        <w:rPr>
          <w:rFonts w:ascii="宋体" w:cs="宋体"/>
          <w:b w:val="0"/>
          <w:bCs/>
          <w:kern w:val="0"/>
          <w:highlight w:val="none"/>
          <w:lang w:val="zh-CN"/>
        </w:rPr>
      </w:pPr>
      <w:r>
        <w:rPr>
          <w:rFonts w:hint="eastAsia" w:ascii="宋体" w:hAnsi="宋体" w:eastAsia="宋体" w:cs="宋体"/>
          <w:b w:val="0"/>
          <w:bCs/>
          <w:sz w:val="32"/>
          <w:szCs w:val="32"/>
          <w:lang w:eastAsia="zh-CN"/>
        </w:rPr>
        <w:t>（征求意见稿）</w:t>
      </w:r>
    </w:p>
    <w:p>
      <w:pPr>
        <w:autoSpaceDE w:val="0"/>
        <w:autoSpaceDN w:val="0"/>
        <w:adjustRightInd w:val="0"/>
        <w:jc w:val="left"/>
        <w:rPr>
          <w:rFonts w:ascii="宋体" w:cs="宋体"/>
          <w:kern w:val="0"/>
          <w:highlight w:val="none"/>
          <w:lang w:val="zh-CN"/>
        </w:rPr>
      </w:pPr>
    </w:p>
    <w:p>
      <w:pPr>
        <w:autoSpaceDE w:val="0"/>
        <w:autoSpaceDN w:val="0"/>
        <w:adjustRightInd w:val="0"/>
        <w:jc w:val="left"/>
        <w:rPr>
          <w:rFonts w:ascii="宋体" w:cs="宋体"/>
          <w:kern w:val="0"/>
          <w:highlight w:val="none"/>
          <w:lang w:val="zh-CN"/>
        </w:rPr>
      </w:pPr>
    </w:p>
    <w:p>
      <w:pPr>
        <w:autoSpaceDE w:val="0"/>
        <w:autoSpaceDN w:val="0"/>
        <w:adjustRightInd w:val="0"/>
        <w:jc w:val="left"/>
        <w:rPr>
          <w:rFonts w:ascii="宋体" w:cs="宋体"/>
          <w:kern w:val="0"/>
          <w:highlight w:val="none"/>
          <w:lang w:val="zh-CN"/>
        </w:rPr>
      </w:pPr>
    </w:p>
    <w:p>
      <w:pPr>
        <w:autoSpaceDE w:val="0"/>
        <w:autoSpaceDN w:val="0"/>
        <w:adjustRightInd w:val="0"/>
        <w:jc w:val="left"/>
        <w:rPr>
          <w:rFonts w:ascii="宋体" w:cs="宋体"/>
          <w:kern w:val="0"/>
          <w:highlight w:val="none"/>
          <w:lang w:val="zh-CN"/>
        </w:rPr>
      </w:pPr>
    </w:p>
    <w:p>
      <w:pPr>
        <w:autoSpaceDE w:val="0"/>
        <w:autoSpaceDN w:val="0"/>
        <w:adjustRightInd w:val="0"/>
        <w:jc w:val="left"/>
        <w:rPr>
          <w:rFonts w:ascii="宋体" w:cs="宋体"/>
          <w:kern w:val="0"/>
          <w:highlight w:val="none"/>
          <w:lang w:val="zh-CN"/>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jc w:val="center"/>
        <w:rPr>
          <w:rFonts w:hint="eastAsia"/>
          <w:b/>
          <w:sz w:val="28"/>
          <w:szCs w:val="28"/>
        </w:rPr>
        <w:sectPr>
          <w:footerReference r:id="rId4" w:type="default"/>
          <w:footnotePr>
            <w:numFmt w:val="decimalEnclosedCircleChinese"/>
            <w:numRestart w:val="eachPage"/>
          </w:footnotePr>
          <w:pgSz w:w="11906" w:h="16838"/>
          <w:pgMar w:top="1440" w:right="1800" w:bottom="1440" w:left="1800" w:header="851" w:footer="992" w:gutter="0"/>
          <w:pgNumType w:fmt="upperRoman"/>
          <w:cols w:space="425" w:num="1"/>
          <w:docGrid w:type="lines" w:linePitch="312" w:charSpace="0"/>
        </w:sectPr>
      </w:pPr>
    </w:p>
    <w:sdt>
      <w:sdtPr>
        <w:rPr>
          <w:rFonts w:asciiTheme="minorHAnsi" w:hAnsiTheme="minorHAnsi" w:eastAsiaTheme="minorEastAsia" w:cstheme="minorBidi"/>
          <w:b w:val="0"/>
          <w:bCs w:val="0"/>
          <w:color w:val="auto"/>
          <w:kern w:val="2"/>
          <w:sz w:val="21"/>
          <w:szCs w:val="21"/>
          <w:highlight w:val="none"/>
          <w:lang w:val="zh-CN"/>
        </w:rPr>
        <w:id w:val="1691798243"/>
        <w:docPartObj>
          <w:docPartGallery w:val="Table of Contents"/>
          <w:docPartUnique/>
        </w:docPartObj>
      </w:sdtPr>
      <w:sdtEndPr>
        <w:rPr>
          <w:rFonts w:asciiTheme="minorHAnsi" w:hAnsiTheme="minorHAnsi" w:eastAsiaTheme="minorEastAsia" w:cstheme="minorBidi"/>
          <w:b w:val="0"/>
          <w:bCs w:val="0"/>
          <w:color w:val="auto"/>
          <w:kern w:val="2"/>
          <w:sz w:val="21"/>
          <w:szCs w:val="21"/>
          <w:highlight w:val="none"/>
          <w:lang w:val="zh-CN"/>
        </w:rPr>
      </w:sdtEndPr>
      <w:sdtContent>
        <w:p>
          <w:pPr>
            <w:pStyle w:val="146"/>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zh-CN"/>
            </w:rPr>
            <w:t>目</w:t>
          </w:r>
          <w:r>
            <w:rPr>
              <w:rFonts w:hint="eastAsia" w:ascii="黑体" w:hAnsi="黑体" w:eastAsia="黑体" w:cs="黑体"/>
              <w:color w:val="auto"/>
              <w:sz w:val="32"/>
              <w:szCs w:val="32"/>
              <w:highlight w:val="none"/>
              <w:lang w:val="en-US" w:eastAsia="zh-CN"/>
            </w:rPr>
            <w:t xml:space="preserve">   </w:t>
          </w:r>
          <w:r>
            <w:rPr>
              <w:rFonts w:hint="eastAsia" w:ascii="黑体" w:hAnsi="黑体" w:eastAsia="黑体" w:cs="黑体"/>
              <w:color w:val="auto"/>
              <w:sz w:val="32"/>
              <w:szCs w:val="32"/>
              <w:highlight w:val="none"/>
              <w:lang w:val="zh-CN"/>
            </w:rPr>
            <w:t>录</w:t>
          </w:r>
        </w:p>
        <w:p>
          <w:pPr>
            <w:pStyle w:val="33"/>
            <w:tabs>
              <w:tab w:val="right" w:leader="dot" w:pos="8306"/>
            </w:tabs>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_Toc8499 </w:instrText>
          </w:r>
          <w:r>
            <w:rPr>
              <w:highlight w:val="none"/>
            </w:rPr>
            <w:fldChar w:fldCharType="separate"/>
          </w:r>
          <w:r>
            <w:rPr>
              <w:rFonts w:hint="eastAsia" w:cstheme="minorBidi"/>
              <w:bCs w:val="0"/>
              <w:caps w:val="0"/>
              <w:kern w:val="2"/>
              <w:highlight w:val="none"/>
              <w:lang w:val="en-US"/>
            </w:rPr>
            <w:t>第</w:t>
          </w:r>
          <w:r>
            <w:rPr>
              <w:rFonts w:cstheme="minorBidi"/>
              <w:bCs w:val="0"/>
              <w:caps w:val="0"/>
              <w:kern w:val="2"/>
              <w:highlight w:val="none"/>
              <w:lang w:val="en-US"/>
            </w:rPr>
            <w:t>1</w:t>
          </w:r>
          <w:r>
            <w:rPr>
              <w:rFonts w:hint="eastAsia" w:cstheme="minorBidi"/>
              <w:bCs w:val="0"/>
              <w:caps w:val="0"/>
              <w:kern w:val="2"/>
              <w:highlight w:val="none"/>
              <w:lang w:val="en-US"/>
            </w:rPr>
            <w:t>章</w:t>
          </w:r>
          <w:r>
            <w:rPr>
              <w:rFonts w:cstheme="minorBidi"/>
              <w:bCs w:val="0"/>
              <w:caps w:val="0"/>
              <w:kern w:val="2"/>
              <w:highlight w:val="none"/>
              <w:lang w:val="en-US"/>
            </w:rPr>
            <w:t xml:space="preserve">   </w:t>
          </w:r>
          <w:r>
            <w:rPr>
              <w:rFonts w:hint="eastAsia" w:cstheme="minorBidi"/>
              <w:bCs w:val="0"/>
              <w:caps w:val="0"/>
              <w:kern w:val="2"/>
              <w:highlight w:val="none"/>
              <w:lang w:val="en-US"/>
            </w:rPr>
            <w:t>说明与要求</w:t>
          </w:r>
          <w:r>
            <w:tab/>
          </w:r>
          <w:r>
            <w:fldChar w:fldCharType="begin"/>
          </w:r>
          <w:r>
            <w:instrText xml:space="preserve"> PAGEREF _Toc8499 </w:instrText>
          </w:r>
          <w:r>
            <w:fldChar w:fldCharType="separate"/>
          </w:r>
          <w:r>
            <w:t>1</w:t>
          </w:r>
          <w:r>
            <w:fldChar w:fldCharType="end"/>
          </w:r>
          <w:r>
            <w:rPr>
              <w:highlight w:val="none"/>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_Toc24530 </w:instrText>
          </w:r>
          <w:r>
            <w:rPr>
              <w:bCs/>
              <w:highlight w:val="none"/>
              <w:lang w:val="zh-CN"/>
            </w:rPr>
            <w:fldChar w:fldCharType="separate"/>
          </w:r>
          <w:r>
            <w:rPr>
              <w:rFonts w:asciiTheme="minorEastAsia" w:hAnsiTheme="minorEastAsia" w:cstheme="minorBidi"/>
              <w:caps w:val="0"/>
              <w:kern w:val="0"/>
              <w:szCs w:val="28"/>
              <w:highlight w:val="none"/>
              <w:lang w:val="en-US"/>
            </w:rPr>
            <w:t>2</w:t>
          </w:r>
          <w:r>
            <w:rPr>
              <w:rFonts w:asciiTheme="minorEastAsia" w:hAnsiTheme="minorEastAsia"/>
              <w:szCs w:val="28"/>
              <w:highlight w:val="none"/>
            </w:rPr>
            <w:t xml:space="preserve">  </w:t>
          </w:r>
          <w:r>
            <w:rPr>
              <w:rFonts w:hint="eastAsia" w:asciiTheme="minorEastAsia" w:hAnsiTheme="minorEastAsia"/>
              <w:szCs w:val="28"/>
              <w:highlight w:val="none"/>
            </w:rPr>
            <w:t>说</w:t>
          </w:r>
          <w:r>
            <w:rPr>
              <w:rFonts w:asciiTheme="minorEastAsia" w:hAnsiTheme="minorEastAsia"/>
              <w:szCs w:val="28"/>
              <w:highlight w:val="none"/>
            </w:rPr>
            <w:t xml:space="preserve">    </w:t>
          </w:r>
          <w:r>
            <w:rPr>
              <w:rFonts w:hint="eastAsia" w:asciiTheme="minorEastAsia" w:hAnsiTheme="minorEastAsia"/>
              <w:szCs w:val="28"/>
              <w:highlight w:val="none"/>
            </w:rPr>
            <w:t>明</w:t>
          </w:r>
          <w:r>
            <w:tab/>
          </w:r>
          <w:r>
            <w:fldChar w:fldCharType="begin"/>
          </w:r>
          <w:r>
            <w:instrText xml:space="preserve"> PAGEREF _Toc24530 </w:instrText>
          </w:r>
          <w:r>
            <w:fldChar w:fldCharType="separate"/>
          </w:r>
          <w:r>
            <w:t>1</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_Toc19781 </w:instrText>
          </w:r>
          <w:r>
            <w:rPr>
              <w:bCs/>
              <w:highlight w:val="none"/>
              <w:lang w:val="zh-CN"/>
            </w:rPr>
            <w:fldChar w:fldCharType="separate"/>
          </w:r>
          <w:r>
            <w:rPr>
              <w:rFonts w:hint="eastAsia" w:cstheme="minorBidi"/>
              <w:bCs w:val="0"/>
              <w:caps w:val="0"/>
              <w:kern w:val="2"/>
              <w:highlight w:val="none"/>
              <w:lang w:val="en-US"/>
            </w:rPr>
            <w:t>第</w:t>
          </w:r>
          <w:r>
            <w:rPr>
              <w:rFonts w:cstheme="minorBidi"/>
              <w:bCs w:val="0"/>
              <w:caps w:val="0"/>
              <w:kern w:val="2"/>
              <w:highlight w:val="none"/>
              <w:lang w:val="en-US"/>
            </w:rPr>
            <w:t>2-1</w:t>
          </w:r>
          <w:r>
            <w:rPr>
              <w:rFonts w:hint="eastAsia" w:cstheme="minorBidi"/>
              <w:bCs w:val="0"/>
              <w:caps w:val="0"/>
              <w:kern w:val="2"/>
              <w:highlight w:val="none"/>
              <w:lang w:val="en-US"/>
            </w:rPr>
            <w:t>章</w:t>
          </w:r>
          <w:r>
            <w:rPr>
              <w:rFonts w:cstheme="minorBidi"/>
              <w:bCs w:val="0"/>
              <w:caps w:val="0"/>
              <w:kern w:val="2"/>
              <w:highlight w:val="none"/>
              <w:lang w:val="en-US"/>
            </w:rPr>
            <w:t xml:space="preserve">  </w:t>
          </w:r>
          <w:r>
            <w:rPr>
              <w:rFonts w:hint="eastAsia" w:cstheme="minorBidi"/>
              <w:bCs w:val="0"/>
              <w:caps w:val="0"/>
              <w:kern w:val="2"/>
              <w:highlight w:val="none"/>
              <w:lang w:val="en-US"/>
            </w:rPr>
            <w:t>构造</w:t>
          </w:r>
          <w:r>
            <w:rPr>
              <w:rFonts w:cstheme="minorBidi"/>
              <w:bCs w:val="0"/>
              <w:caps w:val="0"/>
              <w:kern w:val="2"/>
              <w:highlight w:val="none"/>
              <w:lang w:val="en-US"/>
            </w:rPr>
            <w:t>―</w:t>
          </w:r>
          <w:r>
            <w:rPr>
              <w:rFonts w:hint="eastAsia" w:cstheme="minorBidi"/>
              <w:bCs w:val="0"/>
              <w:caps w:val="0"/>
              <w:kern w:val="2"/>
              <w:highlight w:val="none"/>
              <w:lang w:val="en-US"/>
            </w:rPr>
            <w:t>结构、分舱与稳性、机电设备</w:t>
          </w:r>
          <w:r>
            <w:rPr>
              <w:vertAlign w:val="superscript"/>
            </w:rPr>
            <w:t>①</w:t>
          </w:r>
          <w:r>
            <w:tab/>
          </w:r>
          <w:r>
            <w:fldChar w:fldCharType="begin"/>
          </w:r>
          <w:r>
            <w:instrText xml:space="preserve"> PAGEREF _Toc19781 </w:instrText>
          </w:r>
          <w:r>
            <w:fldChar w:fldCharType="separate"/>
          </w:r>
          <w:r>
            <w:t>3</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_Toc21356 </w:instrText>
          </w:r>
          <w:r>
            <w:rPr>
              <w:bCs/>
              <w:highlight w:val="none"/>
              <w:lang w:val="zh-CN"/>
            </w:rPr>
            <w:fldChar w:fldCharType="separate"/>
          </w:r>
          <w:r>
            <w:rPr>
              <w:rFonts w:hint="eastAsia" w:ascii="楷体_GB2312" w:eastAsia="楷体_GB2312"/>
              <w:szCs w:val="28"/>
              <w:highlight w:val="none"/>
            </w:rPr>
            <w:t>（SOLAS公约第</w:t>
          </w:r>
          <w:r>
            <w:rPr>
              <w:rFonts w:hint="eastAsia" w:ascii="楷体" w:hAnsi="楷体" w:eastAsia="楷体"/>
              <w:szCs w:val="28"/>
              <w:highlight w:val="none"/>
            </w:rPr>
            <w:t>II-1</w:t>
          </w:r>
          <w:r>
            <w:rPr>
              <w:rFonts w:hint="eastAsia" w:ascii="楷体_GB2312" w:eastAsia="楷体_GB2312"/>
              <w:szCs w:val="28"/>
              <w:highlight w:val="none"/>
            </w:rPr>
            <w:t>章）</w:t>
          </w:r>
          <w:r>
            <w:tab/>
          </w:r>
          <w:r>
            <w:fldChar w:fldCharType="begin"/>
          </w:r>
          <w:r>
            <w:instrText xml:space="preserve"> PAGEREF _Toc21356 </w:instrText>
          </w:r>
          <w:r>
            <w:fldChar w:fldCharType="separate"/>
          </w:r>
          <w:r>
            <w:t>3</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_Toc13860 </w:instrText>
          </w:r>
          <w:r>
            <w:rPr>
              <w:bCs/>
              <w:highlight w:val="none"/>
              <w:lang w:val="zh-CN"/>
            </w:rPr>
            <w:fldChar w:fldCharType="separate"/>
          </w:r>
          <w:r>
            <w:rPr>
              <w:rFonts w:hint="default" w:ascii="Times New Roman" w:hAnsi="Times New Roman" w:cs="Times New Roman"/>
              <w:bCs w:val="0"/>
              <w:caps w:val="0"/>
              <w:kern w:val="0"/>
              <w:szCs w:val="21"/>
              <w:highlight w:val="none"/>
              <w:lang w:val="en-US"/>
            </w:rPr>
            <w:t>A部分　通 则</w:t>
          </w:r>
          <w:r>
            <w:tab/>
          </w:r>
          <w:r>
            <w:fldChar w:fldCharType="begin"/>
          </w:r>
          <w:r>
            <w:instrText xml:space="preserve"> PAGEREF _Toc13860 </w:instrText>
          </w:r>
          <w:r>
            <w:fldChar w:fldCharType="separate"/>
          </w:r>
          <w:r>
            <w:t>3</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_Toc19552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w:t>
          </w:r>
          <w:r>
            <w:rPr>
              <w:rFonts w:hint="eastAsia" w:ascii="Times New Roman" w:hAnsi="Times New Roman" w:cstheme="minorBidi"/>
              <w:bCs w:val="0"/>
              <w:caps w:val="0"/>
              <w:kern w:val="0"/>
              <w:szCs w:val="21"/>
              <w:highlight w:val="none"/>
              <w:lang w:val="en-US"/>
            </w:rPr>
            <w:t>条　适</w:t>
          </w:r>
          <w:r>
            <w:rPr>
              <w:rFonts w:ascii="Times New Roman" w:hAnsi="Times New Roman" w:cstheme="minorBidi"/>
              <w:bCs w:val="0"/>
              <w:caps w:val="0"/>
              <w:kern w:val="0"/>
              <w:szCs w:val="21"/>
              <w:highlight w:val="none"/>
              <w:lang w:val="en-US"/>
            </w:rPr>
            <w:t xml:space="preserve"> </w:t>
          </w:r>
          <w:r>
            <w:rPr>
              <w:rFonts w:hint="eastAsia" w:ascii="Times New Roman" w:hAnsi="Times New Roman" w:cstheme="minorBidi"/>
              <w:bCs w:val="0"/>
              <w:caps w:val="0"/>
              <w:kern w:val="0"/>
              <w:szCs w:val="21"/>
              <w:highlight w:val="none"/>
              <w:lang w:val="en-US"/>
            </w:rPr>
            <w:t>用</w:t>
          </w:r>
          <w:r>
            <w:rPr>
              <w:rFonts w:ascii="Times New Roman" w:hAnsi="Times New Roman" w:cstheme="minorBidi"/>
              <w:bCs w:val="0"/>
              <w:caps w:val="0"/>
              <w:kern w:val="0"/>
              <w:szCs w:val="21"/>
              <w:highlight w:val="none"/>
              <w:lang w:val="en-US"/>
            </w:rPr>
            <w:t xml:space="preserve"> </w:t>
          </w:r>
          <w:r>
            <w:rPr>
              <w:rFonts w:hint="eastAsia" w:ascii="Times New Roman" w:hAnsi="Times New Roman" w:cstheme="minorBidi"/>
              <w:bCs w:val="0"/>
              <w:caps w:val="0"/>
              <w:kern w:val="0"/>
              <w:szCs w:val="21"/>
              <w:highlight w:val="none"/>
              <w:lang w:val="en-US"/>
            </w:rPr>
            <w:t>范</w:t>
          </w:r>
          <w:r>
            <w:rPr>
              <w:rFonts w:ascii="Times New Roman" w:hAnsi="Times New Roman" w:cstheme="minorBidi"/>
              <w:bCs w:val="0"/>
              <w:caps w:val="0"/>
              <w:kern w:val="0"/>
              <w:szCs w:val="21"/>
              <w:highlight w:val="none"/>
              <w:lang w:val="en-US"/>
            </w:rPr>
            <w:t xml:space="preserve"> </w:t>
          </w:r>
          <w:r>
            <w:rPr>
              <w:rFonts w:hint="eastAsia" w:ascii="Times New Roman" w:hAnsi="Times New Roman" w:cstheme="minorBidi"/>
              <w:bCs w:val="0"/>
              <w:caps w:val="0"/>
              <w:kern w:val="0"/>
              <w:szCs w:val="21"/>
              <w:highlight w:val="none"/>
              <w:lang w:val="en-US"/>
            </w:rPr>
            <w:t>围</w:t>
          </w:r>
          <w:r>
            <w:tab/>
          </w:r>
          <w:r>
            <w:fldChar w:fldCharType="begin"/>
          </w:r>
          <w:r>
            <w:instrText xml:space="preserve"> PAGEREF _Toc19552 </w:instrText>
          </w:r>
          <w:r>
            <w:fldChar w:fldCharType="separate"/>
          </w:r>
          <w:r>
            <w:t>3</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_Toc13488 </w:instrText>
          </w:r>
          <w:r>
            <w:rPr>
              <w:bCs/>
              <w:highlight w:val="none"/>
              <w:lang w:val="zh-CN"/>
            </w:rPr>
            <w:fldChar w:fldCharType="separate"/>
          </w:r>
          <w:r>
            <w:rPr>
              <w:rFonts w:hint="default" w:ascii="Times New Roman" w:hAnsi="Times New Roman" w:cs="Times New Roman"/>
              <w:bCs w:val="0"/>
              <w:caps w:val="0"/>
              <w:kern w:val="0"/>
              <w:szCs w:val="21"/>
              <w:highlight w:val="none"/>
              <w:lang w:val="en-US"/>
            </w:rPr>
            <w:t>A</w:t>
          </w:r>
          <w:r>
            <w:rPr>
              <w:rFonts w:hint="default" w:ascii="Times New Roman" w:hAnsi="Times New Roman" w:cs="Times New Roman"/>
              <w:bCs w:val="0"/>
              <w:caps w:val="0"/>
              <w:kern w:val="0"/>
              <w:szCs w:val="21"/>
              <w:highlight w:val="none"/>
              <w:lang w:val="en-US" w:eastAsia="zh-CN"/>
            </w:rPr>
            <w:t>-1</w:t>
          </w:r>
          <w:r>
            <w:rPr>
              <w:rFonts w:hint="default" w:ascii="Times New Roman" w:hAnsi="Times New Roman" w:cs="Times New Roman"/>
              <w:bCs w:val="0"/>
              <w:caps w:val="0"/>
              <w:kern w:val="0"/>
              <w:szCs w:val="21"/>
              <w:highlight w:val="none"/>
              <w:lang w:val="en-US"/>
            </w:rPr>
            <w:t>部分　</w:t>
          </w:r>
          <w:r>
            <w:rPr>
              <w:rFonts w:hint="default" w:ascii="Times New Roman" w:hAnsi="Times New Roman" w:cs="Times New Roman"/>
              <w:bCs w:val="0"/>
              <w:caps w:val="0"/>
              <w:kern w:val="0"/>
              <w:szCs w:val="21"/>
              <w:highlight w:val="none"/>
              <w:lang w:val="en-US" w:eastAsia="zh-CN"/>
            </w:rPr>
            <w:t>船 舶 结 构</w:t>
          </w:r>
          <w:r>
            <w:tab/>
          </w:r>
          <w:r>
            <w:fldChar w:fldCharType="begin"/>
          </w:r>
          <w:r>
            <w:instrText xml:space="preserve"> PAGEREF _Toc13488 </w:instrText>
          </w:r>
          <w:r>
            <w:fldChar w:fldCharType="separate"/>
          </w:r>
          <w:r>
            <w:t>3</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_Toc2084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3-3</w:t>
          </w:r>
          <w:r>
            <w:rPr>
              <w:rFonts w:hint="eastAsia" w:ascii="Times New Roman" w:hAnsi="Times New Roman" w:cstheme="minorBidi"/>
              <w:bCs w:val="0"/>
              <w:caps w:val="0"/>
              <w:kern w:val="0"/>
              <w:szCs w:val="21"/>
              <w:highlight w:val="none"/>
              <w:lang w:val="en-US"/>
            </w:rPr>
            <w:t xml:space="preserve">条 </w:t>
          </w:r>
          <w:r>
            <w:rPr>
              <w:rFonts w:hint="eastAsia" w:ascii="Times New Roman" w:hAnsi="Times New Roman" w:cstheme="minorBidi"/>
              <w:bCs w:val="0"/>
              <w:caps w:val="0"/>
              <w:kern w:val="0"/>
              <w:szCs w:val="21"/>
              <w:highlight w:val="none"/>
              <w:lang w:val="en-US" w:eastAsia="zh-CN"/>
            </w:rPr>
            <w:t>拖带和系泊设备</w:t>
          </w:r>
          <w:r>
            <w:tab/>
          </w:r>
          <w:r>
            <w:fldChar w:fldCharType="begin"/>
          </w:r>
          <w:r>
            <w:instrText xml:space="preserve"> PAGEREF _Toc2084 </w:instrText>
          </w:r>
          <w:r>
            <w:fldChar w:fldCharType="separate"/>
          </w:r>
          <w:r>
            <w:t>3</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_Toc82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3-8</w:t>
          </w:r>
          <w:r>
            <w:rPr>
              <w:rFonts w:hint="eastAsia" w:ascii="Times New Roman" w:hAnsi="Times New Roman" w:cstheme="minorBidi"/>
              <w:bCs w:val="0"/>
              <w:caps w:val="0"/>
              <w:kern w:val="0"/>
              <w:szCs w:val="21"/>
              <w:highlight w:val="none"/>
              <w:lang w:val="en-US"/>
            </w:rPr>
            <w:t>条</w:t>
          </w:r>
          <w:r>
            <w:rPr>
              <w:rFonts w:ascii="Times New Roman" w:hAnsi="Times New Roman" w:cstheme="minorBidi"/>
              <w:bCs w:val="0"/>
              <w:caps w:val="0"/>
              <w:kern w:val="0"/>
              <w:szCs w:val="21"/>
              <w:highlight w:val="none"/>
              <w:lang w:val="en-US"/>
            </w:rPr>
            <w:t xml:space="preserve"> </w:t>
          </w:r>
          <w:r>
            <w:rPr>
              <w:rFonts w:hint="eastAsia" w:ascii="Times New Roman" w:hAnsi="Times New Roman" w:cstheme="minorBidi"/>
              <w:bCs w:val="0"/>
              <w:caps w:val="0"/>
              <w:kern w:val="0"/>
              <w:szCs w:val="21"/>
              <w:highlight w:val="none"/>
              <w:lang w:val="en-US" w:eastAsia="zh-CN"/>
            </w:rPr>
            <w:t>拖带和系泊设备</w:t>
          </w:r>
          <w:r>
            <w:tab/>
          </w:r>
          <w:r>
            <w:fldChar w:fldCharType="begin"/>
          </w:r>
          <w:r>
            <w:instrText xml:space="preserve"> PAGEREF _Toc82 </w:instrText>
          </w:r>
          <w:r>
            <w:fldChar w:fldCharType="separate"/>
          </w:r>
          <w:r>
            <w:t>4</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_Toc14619 </w:instrText>
          </w:r>
          <w:r>
            <w:rPr>
              <w:bCs/>
              <w:highlight w:val="none"/>
              <w:lang w:val="zh-CN"/>
            </w:rPr>
            <w:fldChar w:fldCharType="separate"/>
          </w:r>
          <w:r>
            <w:rPr>
              <w:rFonts w:hint="default" w:ascii="Times New Roman" w:hAnsi="Times New Roman" w:cs="Times New Roman"/>
              <w:bCs w:val="0"/>
              <w:caps w:val="0"/>
              <w:kern w:val="2"/>
              <w:szCs w:val="28"/>
              <w:highlight w:val="none"/>
              <w:lang w:val="en-US"/>
            </w:rPr>
            <w:t>B-1部分 稳性</w:t>
          </w:r>
          <w:r>
            <w:tab/>
          </w:r>
          <w:r>
            <w:fldChar w:fldCharType="begin"/>
          </w:r>
          <w:r>
            <w:instrText xml:space="preserve"> PAGEREF _Toc14619 </w:instrText>
          </w:r>
          <w:r>
            <w:fldChar w:fldCharType="separate"/>
          </w:r>
          <w:r>
            <w:t>5</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_Toc32758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7-2</w:t>
          </w:r>
          <w:r>
            <w:rPr>
              <w:rFonts w:hint="eastAsia" w:ascii="Times New Roman" w:hAnsi="Times New Roman" w:cstheme="minorBidi"/>
              <w:bCs w:val="0"/>
              <w:caps w:val="0"/>
              <w:kern w:val="0"/>
              <w:szCs w:val="21"/>
              <w:highlight w:val="none"/>
              <w:lang w:val="en-US"/>
            </w:rPr>
            <w:t>条</w:t>
          </w:r>
          <w:r>
            <w:rPr>
              <w:rFonts w:ascii="Times New Roman" w:hAnsi="Times New Roman" w:cstheme="minorBidi"/>
              <w:bCs w:val="0"/>
              <w:caps w:val="0"/>
              <w:kern w:val="0"/>
              <w:szCs w:val="21"/>
              <w:highlight w:val="none"/>
              <w:lang w:val="en-US"/>
            </w:rPr>
            <w:t xml:space="preserve"> </w:t>
          </w:r>
          <w:r>
            <w:rPr>
              <w:rFonts w:hint="eastAsia" w:ascii="Times New Roman" w:hAnsi="Times New Roman" w:cstheme="minorBidi"/>
              <w:bCs w:val="0"/>
              <w:caps w:val="0"/>
              <w:kern w:val="0"/>
              <w:szCs w:val="21"/>
              <w:highlight w:val="none"/>
              <w:lang w:val="en-US"/>
            </w:rPr>
            <w:t>因数</w:t>
          </w:r>
          <w:r>
            <w:rPr>
              <w:rFonts w:ascii="Times New Roman" w:hAnsi="Times New Roman" w:cstheme="minorBidi"/>
              <w:bCs w:val="0"/>
              <w:i/>
              <w:caps w:val="0"/>
              <w:kern w:val="0"/>
              <w:szCs w:val="21"/>
              <w:highlight w:val="none"/>
              <w:lang w:val="en-US"/>
            </w:rPr>
            <w:t>s</w:t>
          </w:r>
          <w:r>
            <w:rPr>
              <w:rFonts w:ascii="Times New Roman" w:hAnsi="Times New Roman" w:cstheme="minorBidi"/>
              <w:bCs w:val="0"/>
              <w:i/>
              <w:caps w:val="0"/>
              <w:kern w:val="0"/>
              <w:szCs w:val="21"/>
              <w:highlight w:val="none"/>
              <w:vertAlign w:val="subscript"/>
              <w:lang w:val="en-US"/>
            </w:rPr>
            <w:t>i</w:t>
          </w:r>
          <w:r>
            <w:rPr>
              <w:rFonts w:hint="eastAsia" w:ascii="Times New Roman" w:hAnsi="Times New Roman" w:cstheme="minorBidi"/>
              <w:bCs w:val="0"/>
              <w:caps w:val="0"/>
              <w:kern w:val="0"/>
              <w:szCs w:val="21"/>
              <w:highlight w:val="none"/>
              <w:lang w:val="en-US"/>
            </w:rPr>
            <w:t>的计算</w:t>
          </w:r>
          <w:r>
            <w:tab/>
          </w:r>
          <w:r>
            <w:fldChar w:fldCharType="begin"/>
          </w:r>
          <w:r>
            <w:instrText xml:space="preserve"> PAGEREF _Toc32758 </w:instrText>
          </w:r>
          <w:r>
            <w:fldChar w:fldCharType="separate"/>
          </w:r>
          <w:r>
            <w:t>5</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_Toc6196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8-1</w:t>
          </w:r>
          <w:r>
            <w:rPr>
              <w:rFonts w:hint="eastAsia" w:ascii="Times New Roman" w:hAnsi="Times New Roman" w:cstheme="minorBidi"/>
              <w:bCs w:val="0"/>
              <w:caps w:val="0"/>
              <w:kern w:val="0"/>
              <w:szCs w:val="21"/>
              <w:highlight w:val="none"/>
              <w:lang w:val="en-US"/>
            </w:rPr>
            <w:t>条　客船浸水事故后的系统性能和操作资料</w:t>
          </w:r>
          <w:r>
            <w:tab/>
          </w:r>
          <w:r>
            <w:fldChar w:fldCharType="begin"/>
          </w:r>
          <w:r>
            <w:instrText xml:space="preserve"> PAGEREF _Toc6196 </w:instrText>
          </w:r>
          <w:r>
            <w:fldChar w:fldCharType="separate"/>
          </w:r>
          <w:r>
            <w:t>6</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_Toc1978 </w:instrText>
          </w:r>
          <w:r>
            <w:rPr>
              <w:bCs/>
              <w:highlight w:val="none"/>
              <w:lang w:val="zh-CN"/>
            </w:rPr>
            <w:fldChar w:fldCharType="separate"/>
          </w:r>
          <w:r>
            <w:rPr>
              <w:rFonts w:hint="default" w:ascii="Times New Roman" w:hAnsi="Times New Roman" w:cs="Times New Roman"/>
              <w:bCs w:val="0"/>
              <w:caps w:val="0"/>
              <w:kern w:val="2"/>
              <w:szCs w:val="28"/>
              <w:highlight w:val="none"/>
              <w:lang w:val="en-US"/>
            </w:rPr>
            <w:t>B–2部分　分舱、水密和风雨密完整性</w:t>
          </w:r>
          <w:r>
            <w:tab/>
          </w:r>
          <w:r>
            <w:fldChar w:fldCharType="begin"/>
          </w:r>
          <w:r>
            <w:instrText xml:space="preserve"> PAGEREF _Toc1978 </w:instrText>
          </w:r>
          <w:r>
            <w:fldChar w:fldCharType="separate"/>
          </w:r>
          <w:r>
            <w:t>6</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_Toc21592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12</w:t>
          </w:r>
          <w:r>
            <w:rPr>
              <w:rFonts w:hint="eastAsia" w:ascii="Times New Roman" w:hAnsi="Times New Roman" w:cstheme="minorBidi"/>
              <w:bCs w:val="0"/>
              <w:caps w:val="0"/>
              <w:kern w:val="0"/>
              <w:szCs w:val="21"/>
              <w:highlight w:val="none"/>
              <w:lang w:val="en-US"/>
            </w:rPr>
            <w:t>条　尖舱及机器处所的舱壁、轴隧等</w:t>
          </w:r>
          <w:r>
            <w:tab/>
          </w:r>
          <w:r>
            <w:fldChar w:fldCharType="begin"/>
          </w:r>
          <w:r>
            <w:instrText xml:space="preserve"> PAGEREF _Toc21592 </w:instrText>
          </w:r>
          <w:r>
            <w:fldChar w:fldCharType="separate"/>
          </w:r>
          <w:r>
            <w:t>6</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_Toc4382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13</w:t>
          </w:r>
          <w:r>
            <w:rPr>
              <w:rFonts w:hint="eastAsia" w:ascii="Times New Roman" w:hAnsi="Times New Roman" w:cstheme="minorBidi"/>
              <w:bCs w:val="0"/>
              <w:caps w:val="0"/>
              <w:kern w:val="0"/>
              <w:szCs w:val="21"/>
              <w:highlight w:val="none"/>
              <w:lang w:val="en-US"/>
            </w:rPr>
            <w:t>条　客船舱壁甲板以下水密舱壁上的开口</w:t>
          </w:r>
          <w:r>
            <w:tab/>
          </w:r>
          <w:r>
            <w:fldChar w:fldCharType="begin"/>
          </w:r>
          <w:r>
            <w:instrText xml:space="preserve"> PAGEREF _Toc4382 </w:instrText>
          </w:r>
          <w:r>
            <w:fldChar w:fldCharType="separate"/>
          </w:r>
          <w:r>
            <w:t>7</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_Toc22102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15</w:t>
          </w:r>
          <w:r>
            <w:rPr>
              <w:rFonts w:hint="eastAsia" w:ascii="Times New Roman" w:hAnsi="Times New Roman" w:cstheme="minorBidi"/>
              <w:bCs w:val="0"/>
              <w:caps w:val="0"/>
              <w:kern w:val="0"/>
              <w:szCs w:val="21"/>
              <w:highlight w:val="none"/>
              <w:lang w:val="en-US"/>
            </w:rPr>
            <w:t>条　客船舱壁甲板和货船干舷甲板以下外板上的开口</w:t>
          </w:r>
          <w:r>
            <w:tab/>
          </w:r>
          <w:r>
            <w:fldChar w:fldCharType="begin"/>
          </w:r>
          <w:r>
            <w:instrText xml:space="preserve"> PAGEREF _Toc22102 </w:instrText>
          </w:r>
          <w:r>
            <w:fldChar w:fldCharType="separate"/>
          </w:r>
          <w:r>
            <w:t>10</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_Toc10691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16</w:t>
          </w:r>
          <w:r>
            <w:rPr>
              <w:rFonts w:hint="eastAsia" w:ascii="Times New Roman" w:hAnsi="Times New Roman" w:cstheme="minorBidi"/>
              <w:bCs w:val="0"/>
              <w:caps w:val="0"/>
              <w:kern w:val="0"/>
              <w:szCs w:val="21"/>
              <w:highlight w:val="none"/>
              <w:lang w:val="en-US"/>
            </w:rPr>
            <w:t>条　水密</w:t>
          </w:r>
          <w:r>
            <w:rPr>
              <w:rFonts w:hint="eastAsia" w:ascii="Times New Roman" w:hAnsi="Times New Roman" w:cstheme="minorBidi"/>
              <w:bCs w:val="0"/>
              <w:caps w:val="0"/>
              <w:kern w:val="0"/>
              <w:szCs w:val="21"/>
              <w:highlight w:val="none"/>
              <w:lang w:val="en-US" w:eastAsia="zh-CN"/>
            </w:rPr>
            <w:t>关闭装置</w:t>
          </w:r>
          <w:r>
            <w:rPr>
              <w:rFonts w:hint="eastAsia" w:ascii="Times New Roman" w:hAnsi="Times New Roman" w:cstheme="minorBidi"/>
              <w:bCs w:val="0"/>
              <w:caps w:val="0"/>
              <w:kern w:val="0"/>
              <w:szCs w:val="21"/>
              <w:highlight w:val="none"/>
              <w:lang w:val="en-US"/>
            </w:rPr>
            <w:t>的构造和初次试验</w:t>
          </w:r>
          <w:r>
            <w:tab/>
          </w:r>
          <w:r>
            <w:fldChar w:fldCharType="begin"/>
          </w:r>
          <w:r>
            <w:instrText xml:space="preserve"> PAGEREF _Toc10691 </w:instrText>
          </w:r>
          <w:r>
            <w:fldChar w:fldCharType="separate"/>
          </w:r>
          <w:r>
            <w:t>10</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_Toc17715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17</w:t>
          </w:r>
          <w:r>
            <w:rPr>
              <w:rFonts w:hint="eastAsia" w:ascii="Times New Roman" w:hAnsi="Times New Roman" w:cstheme="minorBidi"/>
              <w:bCs w:val="0"/>
              <w:caps w:val="0"/>
              <w:kern w:val="0"/>
              <w:szCs w:val="21"/>
              <w:highlight w:val="none"/>
              <w:lang w:val="en-US"/>
            </w:rPr>
            <w:t>条　客船舱壁甲板以上的内部水密完整性</w:t>
          </w:r>
          <w:r>
            <w:tab/>
          </w:r>
          <w:r>
            <w:fldChar w:fldCharType="begin"/>
          </w:r>
          <w:r>
            <w:instrText xml:space="preserve"> PAGEREF _Toc17715 </w:instrText>
          </w:r>
          <w:r>
            <w:fldChar w:fldCharType="separate"/>
          </w:r>
          <w:r>
            <w:t>10</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_Toc29934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17-1</w:t>
          </w:r>
          <w:r>
            <w:rPr>
              <w:rFonts w:hint="eastAsia" w:ascii="Times New Roman" w:hAnsi="Times New Roman" w:cstheme="minorBidi"/>
              <w:bCs w:val="0"/>
              <w:caps w:val="0"/>
              <w:kern w:val="0"/>
              <w:szCs w:val="21"/>
              <w:highlight w:val="none"/>
              <w:lang w:val="en-US"/>
            </w:rPr>
            <w:t>条　客滚船船体和上层建筑的完整性、破损的预防和控制</w:t>
          </w:r>
          <w:r>
            <w:tab/>
          </w:r>
          <w:r>
            <w:fldChar w:fldCharType="begin"/>
          </w:r>
          <w:r>
            <w:instrText xml:space="preserve"> PAGEREF _Toc29934 </w:instrText>
          </w:r>
          <w:r>
            <w:fldChar w:fldCharType="separate"/>
          </w:r>
          <w:r>
            <w:t>11</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_Toc22028 </w:instrText>
          </w:r>
          <w:r>
            <w:rPr>
              <w:bCs/>
              <w:highlight w:val="none"/>
              <w:lang w:val="zh-CN"/>
            </w:rPr>
            <w:fldChar w:fldCharType="separate"/>
          </w:r>
          <w:r>
            <w:rPr>
              <w:rFonts w:hint="default" w:ascii="Times New Roman" w:hAnsi="Times New Roman" w:cs="Times New Roman"/>
              <w:bCs w:val="0"/>
              <w:caps w:val="0"/>
              <w:kern w:val="2"/>
              <w:szCs w:val="28"/>
              <w:highlight w:val="none"/>
              <w:lang w:val="en-US"/>
            </w:rPr>
            <w:t>B–4部分　稳 性 管 理</w:t>
          </w:r>
          <w:r>
            <w:tab/>
          </w:r>
          <w:r>
            <w:fldChar w:fldCharType="begin"/>
          </w:r>
          <w:r>
            <w:instrText xml:space="preserve"> PAGEREF _Toc22028 </w:instrText>
          </w:r>
          <w:r>
            <w:fldChar w:fldCharType="separate"/>
          </w:r>
          <w:r>
            <w:t>12</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_Toc15987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19</w:t>
          </w:r>
          <w:r>
            <w:rPr>
              <w:rFonts w:hint="eastAsia" w:ascii="Times New Roman" w:hAnsi="Times New Roman" w:cstheme="minorBidi"/>
              <w:bCs w:val="0"/>
              <w:caps w:val="0"/>
              <w:kern w:val="0"/>
              <w:szCs w:val="21"/>
              <w:highlight w:val="none"/>
              <w:lang w:val="en-US"/>
            </w:rPr>
            <w:t>条　</w:t>
          </w:r>
          <w:r>
            <w:rPr>
              <w:rFonts w:ascii="Times New Roman" w:hAnsi="Times New Roman"/>
              <w:szCs w:val="21"/>
              <w:highlight w:val="none"/>
            </w:rPr>
            <w:t>破损控制</w:t>
          </w:r>
          <w:r>
            <w:rPr>
              <w:rFonts w:ascii="Times New Roman" w:hAnsi="Times New Roman"/>
              <w:kern w:val="0"/>
              <w:szCs w:val="21"/>
              <w:highlight w:val="none"/>
            </w:rPr>
            <w:t>资料</w:t>
          </w:r>
          <w:r>
            <w:tab/>
          </w:r>
          <w:r>
            <w:fldChar w:fldCharType="begin"/>
          </w:r>
          <w:r>
            <w:instrText xml:space="preserve"> PAGEREF _Toc15987 </w:instrText>
          </w:r>
          <w:r>
            <w:fldChar w:fldCharType="separate"/>
          </w:r>
          <w:r>
            <w:t>12</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_Toc3048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21</w:t>
          </w:r>
          <w:r>
            <w:rPr>
              <w:rFonts w:hint="eastAsia" w:ascii="Times New Roman" w:hAnsi="Times New Roman" w:cstheme="minorBidi"/>
              <w:bCs w:val="0"/>
              <w:caps w:val="0"/>
              <w:kern w:val="0"/>
              <w:szCs w:val="21"/>
              <w:highlight w:val="none"/>
              <w:lang w:val="en-US"/>
            </w:rPr>
            <w:t>条　客船水密门等的定期操作及检查</w:t>
          </w:r>
          <w:r>
            <w:tab/>
          </w:r>
          <w:r>
            <w:fldChar w:fldCharType="begin"/>
          </w:r>
          <w:r>
            <w:instrText xml:space="preserve"> PAGEREF _Toc3048 </w:instrText>
          </w:r>
          <w:r>
            <w:fldChar w:fldCharType="separate"/>
          </w:r>
          <w:r>
            <w:t>12</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_Toc20920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22</w:t>
          </w:r>
          <w:r>
            <w:rPr>
              <w:rFonts w:hint="eastAsia" w:ascii="Times New Roman" w:hAnsi="Times New Roman" w:cstheme="minorBidi"/>
              <w:bCs w:val="0"/>
              <w:caps w:val="0"/>
              <w:kern w:val="0"/>
              <w:szCs w:val="21"/>
              <w:highlight w:val="none"/>
              <w:lang w:val="en-US"/>
            </w:rPr>
            <w:t>条　进水的预防和控制等</w:t>
          </w:r>
          <w:r>
            <w:tab/>
          </w:r>
          <w:r>
            <w:fldChar w:fldCharType="begin"/>
          </w:r>
          <w:r>
            <w:instrText xml:space="preserve"> PAGEREF _Toc20920 </w:instrText>
          </w:r>
          <w:r>
            <w:fldChar w:fldCharType="separate"/>
          </w:r>
          <w:r>
            <w:t>12</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_Toc28457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23</w:t>
          </w:r>
          <w:r>
            <w:rPr>
              <w:rFonts w:hint="eastAsia" w:ascii="Times New Roman" w:hAnsi="Times New Roman" w:cstheme="minorBidi"/>
              <w:bCs w:val="0"/>
              <w:caps w:val="0"/>
              <w:kern w:val="0"/>
              <w:szCs w:val="21"/>
              <w:highlight w:val="none"/>
              <w:lang w:val="en-US"/>
            </w:rPr>
            <w:t>条　对客滚船的特殊要求</w:t>
          </w:r>
          <w:r>
            <w:tab/>
          </w:r>
          <w:r>
            <w:fldChar w:fldCharType="begin"/>
          </w:r>
          <w:r>
            <w:instrText xml:space="preserve"> PAGEREF _Toc28457 </w:instrText>
          </w:r>
          <w:r>
            <w:fldChar w:fldCharType="separate"/>
          </w:r>
          <w:r>
            <w:t>15</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_Toc7651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ascii="Times New Roman" w:hAnsi="Times New Roman" w:cstheme="minorBidi"/>
              <w:bCs w:val="0"/>
              <w:caps w:val="0"/>
              <w:kern w:val="0"/>
              <w:szCs w:val="21"/>
              <w:highlight w:val="none"/>
              <w:lang w:val="en-US"/>
            </w:rPr>
            <w:t>2</w:t>
          </w:r>
          <w:r>
            <w:rPr>
              <w:rFonts w:hint="eastAsia" w:ascii="Times New Roman" w:hAnsi="Times New Roman" w:cstheme="minorBidi"/>
              <w:bCs w:val="0"/>
              <w:caps w:val="0"/>
              <w:kern w:val="0"/>
              <w:szCs w:val="21"/>
              <w:highlight w:val="none"/>
              <w:lang w:val="en-US" w:eastAsia="zh-CN"/>
            </w:rPr>
            <w:t>5</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散货船以外的单舱货船水位探测器</w:t>
          </w:r>
          <w:r>
            <w:tab/>
          </w:r>
          <w:r>
            <w:fldChar w:fldCharType="begin"/>
          </w:r>
          <w:r>
            <w:instrText xml:space="preserve"> PAGEREF _Toc7651 </w:instrText>
          </w:r>
          <w:r>
            <w:fldChar w:fldCharType="separate"/>
          </w:r>
          <w:r>
            <w:t>15</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_Toc16769 </w:instrText>
          </w:r>
          <w:r>
            <w:rPr>
              <w:bCs/>
              <w:highlight w:val="none"/>
              <w:lang w:val="zh-CN"/>
            </w:rPr>
            <w:fldChar w:fldCharType="separate"/>
          </w:r>
          <w:r>
            <w:rPr>
              <w:rFonts w:hint="eastAsia" w:ascii="Times New Roman" w:hAnsi="Times New Roman" w:cstheme="minorBidi"/>
              <w:bCs w:val="0"/>
              <w:caps w:val="0"/>
              <w:kern w:val="0"/>
              <w:szCs w:val="21"/>
              <w:highlight w:val="none"/>
              <w:lang w:val="en-US" w:eastAsia="zh-CN"/>
            </w:rPr>
            <w:t>“第25-1条  散货船和液货船以外的多舱货船水位探测器</w:t>
          </w:r>
          <w:r>
            <w:tab/>
          </w:r>
          <w:r>
            <w:fldChar w:fldCharType="begin"/>
          </w:r>
          <w:r>
            <w:instrText xml:space="preserve"> PAGEREF _Toc16769 </w:instrText>
          </w:r>
          <w:r>
            <w:fldChar w:fldCharType="separate"/>
          </w:r>
          <w:r>
            <w:t>15</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_Toc14455 </w:instrText>
          </w:r>
          <w:r>
            <w:rPr>
              <w:bCs/>
              <w:highlight w:val="none"/>
              <w:lang w:val="zh-CN"/>
            </w:rPr>
            <w:fldChar w:fldCharType="separate"/>
          </w:r>
          <w:r>
            <w:rPr>
              <w:rFonts w:hint="default" w:ascii="Times New Roman" w:hAnsi="Times New Roman" w:cs="Times New Roman"/>
              <w:bCs w:val="0"/>
              <w:caps w:val="0"/>
              <w:kern w:val="2"/>
              <w:szCs w:val="28"/>
              <w:highlight w:val="none"/>
              <w:lang w:val="en-US" w:eastAsia="zh-CN"/>
            </w:rPr>
            <w:t>D</w:t>
          </w:r>
          <w:r>
            <w:rPr>
              <w:rFonts w:hint="default" w:ascii="Times New Roman" w:hAnsi="Times New Roman" w:cs="Times New Roman"/>
              <w:bCs w:val="0"/>
              <w:caps w:val="0"/>
              <w:kern w:val="2"/>
              <w:szCs w:val="28"/>
              <w:highlight w:val="none"/>
              <w:lang w:val="en-US"/>
            </w:rPr>
            <w:t>部分　</w:t>
          </w:r>
          <w:r>
            <w:rPr>
              <w:rFonts w:hint="default" w:ascii="Times New Roman" w:hAnsi="Times New Roman" w:cs="Times New Roman"/>
              <w:bCs w:val="0"/>
              <w:caps w:val="0"/>
              <w:kern w:val="2"/>
              <w:szCs w:val="28"/>
              <w:highlight w:val="none"/>
              <w:lang w:val="en-US" w:eastAsia="zh-CN"/>
            </w:rPr>
            <w:t>电气装置</w:t>
          </w:r>
          <w:r>
            <w:tab/>
          </w:r>
          <w:r>
            <w:fldChar w:fldCharType="begin"/>
          </w:r>
          <w:r>
            <w:instrText xml:space="preserve"> PAGEREF _Toc14455 </w:instrText>
          </w:r>
          <w:r>
            <w:fldChar w:fldCharType="separate"/>
          </w:r>
          <w:r>
            <w:t>16</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_Toc6804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42</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客船应急电源</w:t>
          </w:r>
          <w:r>
            <w:tab/>
          </w:r>
          <w:r>
            <w:fldChar w:fldCharType="begin"/>
          </w:r>
          <w:r>
            <w:instrText xml:space="preserve"> PAGEREF _Toc6804 </w:instrText>
          </w:r>
          <w:r>
            <w:fldChar w:fldCharType="separate"/>
          </w:r>
          <w:r>
            <w:t>16</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_Toc6640 </w:instrText>
          </w:r>
          <w:r>
            <w:rPr>
              <w:bCs/>
              <w:highlight w:val="none"/>
              <w:lang w:val="zh-CN"/>
            </w:rPr>
            <w:fldChar w:fldCharType="separate"/>
          </w:r>
          <w:r>
            <w:rPr>
              <w:rFonts w:hint="eastAsia" w:cstheme="minorBidi"/>
              <w:bCs w:val="0"/>
              <w:caps w:val="0"/>
              <w:kern w:val="2"/>
              <w:highlight w:val="none"/>
              <w:lang w:val="en-US"/>
            </w:rPr>
            <w:t>第</w:t>
          </w:r>
          <w:r>
            <w:rPr>
              <w:rFonts w:cstheme="minorBidi"/>
              <w:bCs w:val="0"/>
              <w:caps w:val="0"/>
              <w:kern w:val="2"/>
              <w:highlight w:val="none"/>
              <w:lang w:val="en-US"/>
            </w:rPr>
            <w:t>2-2</w:t>
          </w:r>
          <w:r>
            <w:rPr>
              <w:rFonts w:hint="eastAsia" w:cstheme="minorBidi"/>
              <w:bCs w:val="0"/>
              <w:caps w:val="0"/>
              <w:kern w:val="2"/>
              <w:highlight w:val="none"/>
              <w:lang w:val="en-US"/>
            </w:rPr>
            <w:t>章</w:t>
          </w:r>
          <w:r>
            <w:rPr>
              <w:rFonts w:cstheme="minorBidi"/>
              <w:bCs w:val="0"/>
              <w:caps w:val="0"/>
              <w:kern w:val="2"/>
              <w:highlight w:val="none"/>
              <w:lang w:val="en-US"/>
            </w:rPr>
            <w:t xml:space="preserve">  </w:t>
          </w:r>
          <w:r>
            <w:rPr>
              <w:rFonts w:hint="eastAsia" w:cstheme="minorBidi"/>
              <w:bCs w:val="0"/>
              <w:caps w:val="0"/>
              <w:kern w:val="2"/>
              <w:highlight w:val="none"/>
              <w:lang w:val="en-US"/>
            </w:rPr>
            <w:t>构造</w:t>
          </w:r>
          <w:r>
            <w:rPr>
              <w:rFonts w:cstheme="minorBidi"/>
              <w:bCs w:val="0"/>
              <w:caps w:val="0"/>
              <w:kern w:val="2"/>
              <w:highlight w:val="none"/>
              <w:lang w:val="en-US"/>
            </w:rPr>
            <w:t xml:space="preserve"> —</w:t>
          </w:r>
          <w:r>
            <w:rPr>
              <w:rFonts w:hint="eastAsia" w:cstheme="minorBidi"/>
              <w:bCs w:val="0"/>
              <w:caps w:val="0"/>
              <w:kern w:val="2"/>
              <w:highlight w:val="none"/>
              <w:lang w:val="en-US"/>
            </w:rPr>
            <w:t>防火、探火和灭火</w:t>
          </w:r>
          <w:r>
            <w:tab/>
          </w:r>
          <w:r>
            <w:fldChar w:fldCharType="begin"/>
          </w:r>
          <w:r>
            <w:instrText xml:space="preserve"> PAGEREF _Toc6640 </w:instrText>
          </w:r>
          <w:r>
            <w:fldChar w:fldCharType="separate"/>
          </w:r>
          <w:r>
            <w:t>17</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_Toc31410 </w:instrText>
          </w:r>
          <w:r>
            <w:rPr>
              <w:bCs/>
              <w:highlight w:val="none"/>
              <w:lang w:val="zh-CN"/>
            </w:rPr>
            <w:fldChar w:fldCharType="separate"/>
          </w:r>
          <w:r>
            <w:rPr>
              <w:szCs w:val="28"/>
              <w:highlight w:val="none"/>
            </w:rPr>
            <w:t>（SOLAS公约第II-2章）</w:t>
          </w:r>
          <w:r>
            <w:tab/>
          </w:r>
          <w:r>
            <w:fldChar w:fldCharType="begin"/>
          </w:r>
          <w:r>
            <w:instrText xml:space="preserve"> PAGEREF _Toc31410 </w:instrText>
          </w:r>
          <w:r>
            <w:fldChar w:fldCharType="separate"/>
          </w:r>
          <w:r>
            <w:t>17</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_Toc3099 </w:instrText>
          </w:r>
          <w:r>
            <w:rPr>
              <w:bCs/>
              <w:highlight w:val="none"/>
              <w:lang w:val="zh-CN"/>
            </w:rPr>
            <w:fldChar w:fldCharType="separate"/>
          </w:r>
          <w:r>
            <w:rPr>
              <w:rFonts w:ascii="宋体" w:hAnsi="宋体" w:cstheme="minorBidi"/>
              <w:bCs w:val="0"/>
              <w:caps w:val="0"/>
              <w:kern w:val="2"/>
              <w:szCs w:val="28"/>
              <w:highlight w:val="none"/>
              <w:lang w:val="en-US"/>
            </w:rPr>
            <w:t>说  明</w:t>
          </w:r>
          <w:r>
            <w:tab/>
          </w:r>
          <w:r>
            <w:fldChar w:fldCharType="begin"/>
          </w:r>
          <w:r>
            <w:instrText xml:space="preserve"> PAGEREF _Toc3099 </w:instrText>
          </w:r>
          <w:r>
            <w:fldChar w:fldCharType="separate"/>
          </w:r>
          <w:r>
            <w:t>17</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_Toc3145 </w:instrText>
          </w:r>
          <w:r>
            <w:rPr>
              <w:bCs/>
              <w:highlight w:val="none"/>
              <w:lang w:val="zh-CN"/>
            </w:rPr>
            <w:fldChar w:fldCharType="separate"/>
          </w:r>
          <w:r>
            <w:rPr>
              <w:rFonts w:hint="eastAsia" w:cstheme="minorBidi"/>
              <w:bCs w:val="0"/>
              <w:caps w:val="0"/>
              <w:kern w:val="2"/>
              <w:highlight w:val="none"/>
              <w:lang w:val="en-US"/>
            </w:rPr>
            <w:t>附录</w:t>
          </w:r>
          <w:r>
            <w:rPr>
              <w:rFonts w:cstheme="minorBidi"/>
              <w:bCs w:val="0"/>
              <w:caps w:val="0"/>
              <w:kern w:val="2"/>
              <w:highlight w:val="none"/>
              <w:lang w:val="en-US"/>
            </w:rPr>
            <w:t>1</w:t>
          </w:r>
          <w:r>
            <w:rPr>
              <w:rFonts w:hint="eastAsia" w:cstheme="minorBidi"/>
              <w:bCs w:val="0"/>
              <w:caps w:val="0"/>
              <w:kern w:val="2"/>
              <w:highlight w:val="none"/>
              <w:lang w:val="en-US" w:eastAsia="zh-CN"/>
            </w:rPr>
            <w:t xml:space="preserve">  </w:t>
          </w:r>
          <w:r>
            <w:rPr>
              <w:rFonts w:hint="eastAsia" w:cstheme="minorBidi"/>
              <w:bCs w:val="0"/>
              <w:caps w:val="0"/>
              <w:kern w:val="2"/>
              <w:highlight w:val="none"/>
              <w:lang w:val="en-US"/>
            </w:rPr>
            <w:t>国际消防安全系统规则</w:t>
          </w:r>
          <w:r>
            <w:tab/>
          </w:r>
          <w:r>
            <w:fldChar w:fldCharType="begin"/>
          </w:r>
          <w:r>
            <w:instrText xml:space="preserve"> PAGEREF _Toc3145 </w:instrText>
          </w:r>
          <w:r>
            <w:fldChar w:fldCharType="separate"/>
          </w:r>
          <w:r>
            <w:t>18</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_Toc16436 </w:instrText>
          </w:r>
          <w:r>
            <w:rPr>
              <w:bCs/>
              <w:highlight w:val="none"/>
              <w:lang w:val="zh-CN"/>
            </w:rPr>
            <w:fldChar w:fldCharType="separate"/>
          </w:r>
          <w:r>
            <w:rPr>
              <w:rFonts w:hint="eastAsia" w:cstheme="minorBidi"/>
              <w:bCs w:val="0"/>
              <w:caps w:val="0"/>
              <w:kern w:val="0"/>
              <w:szCs w:val="28"/>
              <w:highlight w:val="none"/>
              <w:lang w:val="en-US"/>
            </w:rPr>
            <w:t>第</w:t>
          </w:r>
          <w:r>
            <w:rPr>
              <w:rFonts w:hint="eastAsia" w:cstheme="minorBidi"/>
              <w:bCs w:val="0"/>
              <w:caps w:val="0"/>
              <w:kern w:val="0"/>
              <w:szCs w:val="28"/>
              <w:highlight w:val="none"/>
              <w:lang w:val="en-US" w:eastAsia="zh-CN"/>
            </w:rPr>
            <w:t>9</w:t>
          </w:r>
          <w:r>
            <w:rPr>
              <w:rFonts w:hint="eastAsia" w:cstheme="minorBidi"/>
              <w:bCs w:val="0"/>
              <w:caps w:val="0"/>
              <w:kern w:val="0"/>
              <w:szCs w:val="28"/>
              <w:highlight w:val="none"/>
              <w:lang w:val="en-US"/>
            </w:rPr>
            <w:t>章</w:t>
          </w:r>
          <w:r>
            <w:rPr>
              <w:rFonts w:cstheme="minorBidi"/>
              <w:bCs w:val="0"/>
              <w:caps w:val="0"/>
              <w:kern w:val="0"/>
              <w:szCs w:val="28"/>
              <w:highlight w:val="none"/>
              <w:lang w:val="en-US"/>
            </w:rPr>
            <w:t xml:space="preserve">  </w:t>
          </w:r>
          <w:r>
            <w:rPr>
              <w:rFonts w:hint="eastAsia" w:cstheme="minorBidi"/>
              <w:bCs w:val="0"/>
              <w:caps w:val="0"/>
              <w:kern w:val="0"/>
              <w:szCs w:val="28"/>
              <w:highlight w:val="none"/>
              <w:lang w:val="en-US" w:eastAsia="zh-CN"/>
            </w:rPr>
            <w:t>固定式探火和失火报警</w:t>
          </w:r>
          <w:r>
            <w:rPr>
              <w:rFonts w:hint="eastAsia" w:cstheme="minorBidi"/>
              <w:bCs w:val="0"/>
              <w:caps w:val="0"/>
              <w:kern w:val="0"/>
              <w:szCs w:val="28"/>
              <w:highlight w:val="none"/>
              <w:lang w:val="en-US"/>
            </w:rPr>
            <w:t>系统</w:t>
          </w:r>
          <w:r>
            <w:tab/>
          </w:r>
          <w:r>
            <w:fldChar w:fldCharType="begin"/>
          </w:r>
          <w:r>
            <w:instrText xml:space="preserve"> PAGEREF _Toc16436 </w:instrText>
          </w:r>
          <w:r>
            <w:fldChar w:fldCharType="separate"/>
          </w:r>
          <w:r>
            <w:t>18</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_Toc20993 </w:instrText>
          </w:r>
          <w:r>
            <w:rPr>
              <w:bCs/>
              <w:highlight w:val="none"/>
              <w:lang w:val="zh-CN"/>
            </w:rPr>
            <w:fldChar w:fldCharType="separate"/>
          </w:r>
          <w:r>
            <w:rPr>
              <w:rFonts w:hint="eastAsia" w:cstheme="minorBidi"/>
              <w:bCs w:val="0"/>
              <w:caps w:val="0"/>
              <w:kern w:val="0"/>
              <w:szCs w:val="28"/>
              <w:highlight w:val="none"/>
              <w:lang w:val="en-US"/>
            </w:rPr>
            <w:t>第</w:t>
          </w:r>
          <w:r>
            <w:rPr>
              <w:rFonts w:cstheme="minorBidi"/>
              <w:bCs w:val="0"/>
              <w:caps w:val="0"/>
              <w:kern w:val="0"/>
              <w:szCs w:val="28"/>
              <w:highlight w:val="none"/>
              <w:lang w:val="en-US"/>
            </w:rPr>
            <w:t>1</w:t>
          </w:r>
          <w:r>
            <w:rPr>
              <w:rFonts w:hint="eastAsia" w:cstheme="minorBidi"/>
              <w:bCs w:val="0"/>
              <w:caps w:val="0"/>
              <w:kern w:val="0"/>
              <w:szCs w:val="28"/>
              <w:highlight w:val="none"/>
              <w:lang w:val="en-US" w:eastAsia="zh-CN"/>
            </w:rPr>
            <w:t>5</w:t>
          </w:r>
          <w:r>
            <w:rPr>
              <w:rFonts w:hint="eastAsia" w:cstheme="minorBidi"/>
              <w:bCs w:val="0"/>
              <w:caps w:val="0"/>
              <w:kern w:val="0"/>
              <w:szCs w:val="28"/>
              <w:highlight w:val="none"/>
              <w:lang w:val="en-US"/>
            </w:rPr>
            <w:t>章</w:t>
          </w:r>
          <w:r>
            <w:rPr>
              <w:rFonts w:cstheme="minorBidi"/>
              <w:bCs w:val="0"/>
              <w:caps w:val="0"/>
              <w:kern w:val="0"/>
              <w:szCs w:val="28"/>
              <w:highlight w:val="none"/>
              <w:lang w:val="en-US"/>
            </w:rPr>
            <w:t xml:space="preserve">  </w:t>
          </w:r>
          <w:r>
            <w:rPr>
              <w:rFonts w:hint="eastAsia" w:cstheme="minorBidi"/>
              <w:bCs w:val="0"/>
              <w:caps w:val="0"/>
              <w:kern w:val="0"/>
              <w:szCs w:val="28"/>
              <w:highlight w:val="none"/>
              <w:lang w:val="en-US"/>
            </w:rPr>
            <w:t>脱险通道布置</w:t>
          </w:r>
          <w:r>
            <w:tab/>
          </w:r>
          <w:r>
            <w:fldChar w:fldCharType="begin"/>
          </w:r>
          <w:r>
            <w:instrText xml:space="preserve"> PAGEREF _Toc20993 </w:instrText>
          </w:r>
          <w:r>
            <w:fldChar w:fldCharType="separate"/>
          </w:r>
          <w:r>
            <w:t>18</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_Toc29472 </w:instrText>
          </w:r>
          <w:r>
            <w:rPr>
              <w:bCs/>
              <w:highlight w:val="none"/>
              <w:lang w:val="zh-CN"/>
            </w:rPr>
            <w:fldChar w:fldCharType="separate"/>
          </w:r>
          <w:r>
            <w:rPr>
              <w:rFonts w:hint="eastAsia" w:ascii="Times New Roman" w:hAnsi="Times New Roman" w:cstheme="minorBidi"/>
              <w:bCs w:val="0"/>
              <w:caps w:val="0"/>
              <w:kern w:val="0"/>
              <w:szCs w:val="32"/>
              <w:highlight w:val="none"/>
              <w:lang w:val="en-US"/>
            </w:rPr>
            <w:t>附录2</w:t>
          </w:r>
          <w:r>
            <w:rPr>
              <w:rFonts w:hint="eastAsia" w:ascii="Times New Roman" w:hAnsi="Times New Roman" w:cstheme="minorBidi"/>
              <w:bCs w:val="0"/>
              <w:caps w:val="0"/>
              <w:kern w:val="0"/>
              <w:szCs w:val="32"/>
              <w:highlight w:val="none"/>
              <w:lang w:val="en-US" w:eastAsia="zh-CN"/>
            </w:rPr>
            <w:t xml:space="preserve">  </w:t>
          </w:r>
          <w:r>
            <w:rPr>
              <w:rFonts w:hint="eastAsia" w:cstheme="minorBidi"/>
              <w:bCs w:val="0"/>
              <w:caps w:val="0"/>
              <w:kern w:val="2"/>
              <w:highlight w:val="none"/>
              <w:lang w:val="en-US"/>
            </w:rPr>
            <w:t>国际耐火试验程序应用规则</w:t>
          </w:r>
          <w:r>
            <w:tab/>
          </w:r>
          <w:r>
            <w:fldChar w:fldCharType="begin"/>
          </w:r>
          <w:r>
            <w:instrText xml:space="preserve"> PAGEREF _Toc29472 </w:instrText>
          </w:r>
          <w:r>
            <w:fldChar w:fldCharType="separate"/>
          </w:r>
          <w:r>
            <w:t>19</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_Toc11936 </w:instrText>
          </w:r>
          <w:r>
            <w:rPr>
              <w:bCs/>
              <w:highlight w:val="none"/>
              <w:lang w:val="zh-CN"/>
            </w:rPr>
            <w:fldChar w:fldCharType="separate"/>
          </w:r>
          <w:r>
            <w:rPr>
              <w:rFonts w:hint="eastAsia" w:hAnsi="宋体"/>
              <w:bCs/>
              <w:highlight w:val="none"/>
            </w:rPr>
            <w:t>附件3　防火材料和所需认可试验方法</w:t>
          </w:r>
          <w:r>
            <w:tab/>
          </w:r>
          <w:r>
            <w:fldChar w:fldCharType="begin"/>
          </w:r>
          <w:r>
            <w:instrText xml:space="preserve"> PAGEREF _Toc11936 </w:instrText>
          </w:r>
          <w:r>
            <w:fldChar w:fldCharType="separate"/>
          </w:r>
          <w:r>
            <w:t>19</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_Toc30773 </w:instrText>
          </w:r>
          <w:r>
            <w:rPr>
              <w:bCs/>
              <w:highlight w:val="none"/>
              <w:lang w:val="zh-CN"/>
            </w:rPr>
            <w:fldChar w:fldCharType="separate"/>
          </w:r>
          <w:r>
            <w:rPr>
              <w:rFonts w:hint="eastAsia" w:cstheme="minorBidi"/>
              <w:bCs w:val="0"/>
              <w:caps w:val="0"/>
              <w:kern w:val="2"/>
              <w:highlight w:val="none"/>
              <w:lang w:val="en-US"/>
            </w:rPr>
            <w:t>第</w:t>
          </w:r>
          <w:r>
            <w:rPr>
              <w:rFonts w:cstheme="minorBidi"/>
              <w:bCs w:val="0"/>
              <w:caps w:val="0"/>
              <w:kern w:val="2"/>
              <w:highlight w:val="none"/>
              <w:lang w:val="en-US"/>
            </w:rPr>
            <w:t>3</w:t>
          </w:r>
          <w:r>
            <w:rPr>
              <w:rFonts w:hint="eastAsia" w:cstheme="minorBidi"/>
              <w:bCs w:val="0"/>
              <w:caps w:val="0"/>
              <w:kern w:val="2"/>
              <w:highlight w:val="none"/>
              <w:lang w:val="en-US"/>
            </w:rPr>
            <w:t>章　救生设备和装置</w:t>
          </w:r>
          <w:r>
            <w:rPr>
              <w:rFonts w:hint="eastAsia" w:ascii="楷体_GB2312" w:eastAsia="楷体_GB2312"/>
              <w:szCs w:val="28"/>
              <w:highlight w:val="none"/>
            </w:rPr>
            <w:t>（SOLAS公约第</w:t>
          </w:r>
          <w:r>
            <w:rPr>
              <w:rFonts w:hint="eastAsia" w:ascii="楷体" w:hAnsi="楷体" w:eastAsia="楷体"/>
              <w:szCs w:val="28"/>
              <w:highlight w:val="none"/>
            </w:rPr>
            <w:t>Ⅲ</w:t>
          </w:r>
          <w:r>
            <w:rPr>
              <w:rFonts w:hint="eastAsia" w:ascii="楷体_GB2312" w:eastAsia="楷体_GB2312"/>
              <w:szCs w:val="28"/>
              <w:highlight w:val="none"/>
            </w:rPr>
            <w:t>章）</w:t>
          </w:r>
          <w:r>
            <w:tab/>
          </w:r>
          <w:r>
            <w:fldChar w:fldCharType="begin"/>
          </w:r>
          <w:r>
            <w:instrText xml:space="preserve"> PAGEREF _Toc30773 </w:instrText>
          </w:r>
          <w:r>
            <w:fldChar w:fldCharType="separate"/>
          </w:r>
          <w:r>
            <w:t>20</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_Toc23849 </w:instrText>
          </w:r>
          <w:r>
            <w:rPr>
              <w:bCs/>
              <w:highlight w:val="none"/>
              <w:lang w:val="zh-CN"/>
            </w:rPr>
            <w:fldChar w:fldCharType="separate"/>
          </w:r>
          <w:r>
            <w:rPr>
              <w:rFonts w:cstheme="minorBidi"/>
              <w:bCs w:val="0"/>
              <w:caps w:val="0"/>
              <w:kern w:val="2"/>
              <w:szCs w:val="24"/>
              <w:highlight w:val="none"/>
              <w:lang w:val="en-US"/>
            </w:rPr>
            <w:t>B</w:t>
          </w:r>
          <w:r>
            <w:rPr>
              <w:rFonts w:hint="eastAsia" w:cstheme="minorBidi"/>
              <w:bCs w:val="0"/>
              <w:caps w:val="0"/>
              <w:kern w:val="2"/>
              <w:szCs w:val="24"/>
              <w:highlight w:val="none"/>
              <w:lang w:val="en-US"/>
            </w:rPr>
            <w:t>部分　</w:t>
          </w:r>
          <w:r>
            <w:rPr>
              <w:rFonts w:cstheme="minorBidi"/>
              <w:bCs w:val="0"/>
              <w:caps w:val="0"/>
              <w:kern w:val="2"/>
              <w:szCs w:val="24"/>
              <w:highlight w:val="none"/>
              <w:lang w:val="en-US"/>
            </w:rPr>
            <w:t xml:space="preserve"> </w:t>
          </w:r>
          <w:r>
            <w:rPr>
              <w:rFonts w:hint="eastAsia" w:cstheme="minorBidi"/>
              <w:bCs w:val="0"/>
              <w:caps w:val="0"/>
              <w:kern w:val="2"/>
              <w:szCs w:val="24"/>
              <w:highlight w:val="none"/>
              <w:lang w:val="en-US"/>
            </w:rPr>
            <w:t>船舶和救生设备的要求</w:t>
          </w:r>
          <w:r>
            <w:tab/>
          </w:r>
          <w:r>
            <w:fldChar w:fldCharType="begin"/>
          </w:r>
          <w:r>
            <w:instrText xml:space="preserve"> PAGEREF _Toc23849 </w:instrText>
          </w:r>
          <w:r>
            <w:fldChar w:fldCharType="separate"/>
          </w:r>
          <w:r>
            <w:t>20</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_Toc1893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33</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救生艇筏的登乘与降落布置</w:t>
          </w:r>
          <w:r>
            <w:tab/>
          </w:r>
          <w:r>
            <w:fldChar w:fldCharType="begin"/>
          </w:r>
          <w:r>
            <w:instrText xml:space="preserve"> PAGEREF _Toc1893 </w:instrText>
          </w:r>
          <w:r>
            <w:fldChar w:fldCharType="separate"/>
          </w:r>
          <w:r>
            <w:t>20</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_Toc25298 </w:instrText>
          </w:r>
          <w:r>
            <w:rPr>
              <w:bCs/>
              <w:highlight w:val="none"/>
              <w:lang w:val="zh-CN"/>
            </w:rPr>
            <w:fldChar w:fldCharType="separate"/>
          </w:r>
          <w:r>
            <w:rPr>
              <w:rFonts w:hint="eastAsia" w:ascii="Times New Roman" w:hAnsi="Times New Roman" w:cstheme="minorBidi"/>
              <w:bCs w:val="0"/>
              <w:caps w:val="0"/>
              <w:kern w:val="2"/>
              <w:szCs w:val="28"/>
              <w:highlight w:val="none"/>
              <w:lang w:val="en-US"/>
            </w:rPr>
            <w:t>附录</w:t>
          </w:r>
          <w:r>
            <w:rPr>
              <w:rFonts w:ascii="Times New Roman" w:hAnsi="Times New Roman" w:cstheme="minorBidi"/>
              <w:bCs w:val="0"/>
              <w:caps w:val="0"/>
              <w:kern w:val="2"/>
              <w:szCs w:val="28"/>
              <w:highlight w:val="none"/>
              <w:lang w:val="en-US"/>
            </w:rPr>
            <w:t>2</w:t>
          </w:r>
          <w:r>
            <w:rPr>
              <w:rFonts w:hint="eastAsia" w:ascii="Times New Roman" w:hAnsi="Times New Roman" w:cstheme="minorBidi"/>
              <w:bCs w:val="0"/>
              <w:caps w:val="0"/>
              <w:kern w:val="2"/>
              <w:szCs w:val="28"/>
              <w:highlight w:val="none"/>
              <w:lang w:val="en-US" w:eastAsia="zh-CN"/>
            </w:rPr>
            <w:t xml:space="preserve"> </w:t>
          </w:r>
          <w:r>
            <w:rPr>
              <w:rFonts w:ascii="Times New Roman" w:hAnsi="Times New Roman" w:cstheme="minorBidi"/>
              <w:bCs w:val="0"/>
              <w:caps w:val="0"/>
              <w:kern w:val="2"/>
              <w:szCs w:val="28"/>
              <w:highlight w:val="none"/>
              <w:lang w:val="en-US"/>
            </w:rPr>
            <w:t xml:space="preserve"> </w:t>
          </w:r>
          <w:r>
            <w:rPr>
              <w:rFonts w:hint="eastAsia" w:ascii="Times New Roman" w:hAnsi="Times New Roman" w:cstheme="minorBidi"/>
              <w:bCs w:val="0"/>
              <w:caps w:val="0"/>
              <w:kern w:val="2"/>
              <w:szCs w:val="28"/>
              <w:highlight w:val="none"/>
              <w:lang w:val="en-US"/>
            </w:rPr>
            <w:t>国际救生设备规则</w:t>
          </w:r>
          <w:r>
            <w:tab/>
          </w:r>
          <w:r>
            <w:fldChar w:fldCharType="begin"/>
          </w:r>
          <w:r>
            <w:instrText xml:space="preserve"> PAGEREF _Toc25298 </w:instrText>
          </w:r>
          <w:r>
            <w:fldChar w:fldCharType="separate"/>
          </w:r>
          <w:r>
            <w:t>21</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_Toc20955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highlight w:val="none"/>
            </w:rPr>
            <w:t>I</w:t>
          </w:r>
          <w:r>
            <w:rPr>
              <w:rFonts w:hint="eastAsia" w:ascii="Times New Roman" w:hAnsi="Times New Roman" w:cstheme="minorBidi"/>
              <w:bCs w:val="0"/>
              <w:caps w:val="0"/>
              <w:kern w:val="0"/>
              <w:szCs w:val="21"/>
              <w:highlight w:val="none"/>
              <w:lang w:val="en-US"/>
            </w:rPr>
            <w:t>章</w:t>
          </w:r>
          <w:r>
            <w:rPr>
              <w:rFonts w:ascii="Times New Roman" w:hAnsi="Times New Roman" w:cstheme="minorBidi"/>
              <w:bCs w:val="0"/>
              <w:caps w:val="0"/>
              <w:kern w:val="0"/>
              <w:szCs w:val="21"/>
              <w:highlight w:val="none"/>
              <w:lang w:val="en-US"/>
            </w:rPr>
            <w:t xml:space="preserve">  </w:t>
          </w:r>
          <w:r>
            <w:rPr>
              <w:rFonts w:hint="eastAsia" w:ascii="Times New Roman" w:hAnsi="Times New Roman" w:cstheme="minorBidi"/>
              <w:bCs w:val="0"/>
              <w:caps w:val="0"/>
              <w:kern w:val="0"/>
              <w:szCs w:val="21"/>
              <w:highlight w:val="none"/>
              <w:lang w:val="en-US" w:eastAsia="zh-CN"/>
            </w:rPr>
            <w:t>通 则</w:t>
          </w:r>
          <w:r>
            <w:tab/>
          </w:r>
          <w:r>
            <w:fldChar w:fldCharType="begin"/>
          </w:r>
          <w:r>
            <w:instrText xml:space="preserve"> PAGEREF _Toc20955 </w:instrText>
          </w:r>
          <w:r>
            <w:fldChar w:fldCharType="separate"/>
          </w:r>
          <w:r>
            <w:t>21</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_Toc4545 </w:instrText>
          </w:r>
          <w:r>
            <w:rPr>
              <w:bCs/>
              <w:highlight w:val="none"/>
              <w:lang w:val="zh-CN"/>
            </w:rPr>
            <w:fldChar w:fldCharType="separate"/>
          </w:r>
          <w:r>
            <w:rPr>
              <w:rFonts w:hint="eastAsia" w:ascii="宋体" w:hAnsi="宋体" w:eastAsia="宋体" w:cs="宋体"/>
              <w:bCs/>
              <w:caps w:val="0"/>
              <w:kern w:val="0"/>
              <w:szCs w:val="21"/>
            </w:rPr>
            <w:t>第</w:t>
          </w:r>
          <w:r>
            <w:rPr>
              <w:rFonts w:hint="default" w:ascii="Calibri" w:hAnsi="Calibri" w:eastAsia="宋体" w:cs="Arial"/>
              <w:bCs/>
              <w:caps/>
              <w:kern w:val="32"/>
              <w:szCs w:val="22"/>
            </w:rPr>
            <w:t>II</w:t>
          </w:r>
          <w:r>
            <w:rPr>
              <w:rFonts w:hint="eastAsia" w:ascii="宋体" w:hAnsi="宋体" w:eastAsia="宋体" w:cs="宋体"/>
              <w:bCs/>
              <w:caps w:val="0"/>
              <w:kern w:val="0"/>
              <w:szCs w:val="21"/>
            </w:rPr>
            <w:t>章</w:t>
          </w:r>
          <w:r>
            <w:rPr>
              <w:rFonts w:hint="default" w:ascii="Times New Roman" w:hAnsi="Times New Roman" w:eastAsia="宋体" w:cs="Times New Roman"/>
              <w:bCs/>
              <w:caps w:val="0"/>
              <w:kern w:val="0"/>
              <w:szCs w:val="21"/>
            </w:rPr>
            <w:t xml:space="preserve">  </w:t>
          </w:r>
          <w:r>
            <w:rPr>
              <w:rFonts w:hint="eastAsia" w:ascii="宋体" w:hAnsi="宋体" w:eastAsia="宋体" w:cs="宋体"/>
              <w:bCs/>
              <w:caps w:val="0"/>
              <w:kern w:val="0"/>
              <w:szCs w:val="21"/>
            </w:rPr>
            <w:t>个人救生设备</w:t>
          </w:r>
          <w:r>
            <w:tab/>
          </w:r>
          <w:r>
            <w:fldChar w:fldCharType="begin"/>
          </w:r>
          <w:r>
            <w:instrText xml:space="preserve"> PAGEREF _Toc4545 </w:instrText>
          </w:r>
          <w:r>
            <w:fldChar w:fldCharType="separate"/>
          </w:r>
          <w:r>
            <w:t>21</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_Toc14396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highlight w:val="none"/>
            </w:rPr>
            <w:t>IV</w:t>
          </w:r>
          <w:r>
            <w:rPr>
              <w:rFonts w:hint="eastAsia" w:ascii="Times New Roman" w:hAnsi="Times New Roman" w:cstheme="minorBidi"/>
              <w:bCs w:val="0"/>
              <w:caps w:val="0"/>
              <w:kern w:val="0"/>
              <w:szCs w:val="21"/>
              <w:highlight w:val="none"/>
              <w:lang w:val="en-US"/>
            </w:rPr>
            <w:t>章</w:t>
          </w:r>
          <w:r>
            <w:rPr>
              <w:rFonts w:ascii="Times New Roman" w:hAnsi="Times New Roman" w:cstheme="minorBidi"/>
              <w:bCs w:val="0"/>
              <w:caps w:val="0"/>
              <w:kern w:val="0"/>
              <w:szCs w:val="21"/>
              <w:highlight w:val="none"/>
              <w:lang w:val="en-US"/>
            </w:rPr>
            <w:t xml:space="preserve">  </w:t>
          </w:r>
          <w:r>
            <w:rPr>
              <w:rFonts w:hint="eastAsia" w:ascii="Times New Roman" w:hAnsi="Times New Roman" w:cstheme="minorBidi"/>
              <w:bCs w:val="0"/>
              <w:caps w:val="0"/>
              <w:kern w:val="0"/>
              <w:szCs w:val="21"/>
              <w:highlight w:val="none"/>
              <w:lang w:val="en-US" w:eastAsia="zh-CN"/>
            </w:rPr>
            <w:t>救 生 艇 筏</w:t>
          </w:r>
          <w:r>
            <w:tab/>
          </w:r>
          <w:r>
            <w:fldChar w:fldCharType="begin"/>
          </w:r>
          <w:r>
            <w:instrText xml:space="preserve"> PAGEREF _Toc14396 </w:instrText>
          </w:r>
          <w:r>
            <w:fldChar w:fldCharType="separate"/>
          </w:r>
          <w:r>
            <w:t>21</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_Toc10937 </w:instrText>
          </w:r>
          <w:r>
            <w:rPr>
              <w:bCs/>
              <w:highlight w:val="none"/>
              <w:lang w:val="zh-CN"/>
            </w:rPr>
            <w:fldChar w:fldCharType="separate"/>
          </w:r>
          <w:r>
            <w:rPr>
              <w:rFonts w:hint="eastAsia" w:ascii="Times New Roman" w:hAnsi="Times New Roman" w:cstheme="minorBidi"/>
              <w:bCs w:val="0"/>
              <w:caps w:val="0"/>
              <w:kern w:val="0"/>
              <w:szCs w:val="21"/>
              <w:highlight w:val="none"/>
              <w:lang w:val="en-US" w:eastAsia="zh-CN"/>
            </w:rPr>
            <w:t>第VI章   降落与登乘设备</w:t>
          </w:r>
          <w:r>
            <w:tab/>
          </w:r>
          <w:r>
            <w:fldChar w:fldCharType="begin"/>
          </w:r>
          <w:r>
            <w:instrText xml:space="preserve"> PAGEREF _Toc10937 </w:instrText>
          </w:r>
          <w:r>
            <w:fldChar w:fldCharType="separate"/>
          </w:r>
          <w:r>
            <w:t>21</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_Toc6184 </w:instrText>
          </w:r>
          <w:r>
            <w:rPr>
              <w:bCs/>
              <w:highlight w:val="none"/>
              <w:lang w:val="zh-CN"/>
            </w:rPr>
            <w:fldChar w:fldCharType="separate"/>
          </w:r>
          <w:r>
            <w:rPr>
              <w:rFonts w:cstheme="minorBidi"/>
              <w:bCs w:val="0"/>
              <w:caps w:val="0"/>
              <w:kern w:val="2"/>
              <w:highlight w:val="none"/>
              <w:lang w:val="en-US"/>
            </w:rPr>
            <w:t>第</w:t>
          </w:r>
          <w:r>
            <w:rPr>
              <w:rFonts w:hint="eastAsia" w:cstheme="minorBidi"/>
              <w:bCs w:val="0"/>
              <w:caps w:val="0"/>
              <w:kern w:val="2"/>
              <w:highlight w:val="none"/>
              <w:lang w:val="en-US"/>
            </w:rPr>
            <w:t>4</w:t>
          </w:r>
          <w:r>
            <w:rPr>
              <w:rFonts w:cstheme="minorBidi"/>
              <w:bCs w:val="0"/>
              <w:caps w:val="0"/>
              <w:kern w:val="2"/>
              <w:highlight w:val="none"/>
              <w:lang w:val="en-US"/>
            </w:rPr>
            <w:t>章</w:t>
          </w:r>
          <w:r>
            <w:rPr>
              <w:rFonts w:hint="eastAsia" w:cstheme="minorBidi"/>
              <w:bCs w:val="0"/>
              <w:caps w:val="0"/>
              <w:kern w:val="2"/>
              <w:highlight w:val="none"/>
              <w:lang w:val="en-US"/>
            </w:rPr>
            <w:t>　无线电通信设备（SOLAS公约第IV章）</w:t>
          </w:r>
          <w:r>
            <w:tab/>
          </w:r>
          <w:r>
            <w:fldChar w:fldCharType="begin"/>
          </w:r>
          <w:r>
            <w:instrText xml:space="preserve"> PAGEREF _Toc6184 </w:instrText>
          </w:r>
          <w:r>
            <w:fldChar w:fldCharType="separate"/>
          </w:r>
          <w:r>
            <w:t>23</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_Toc23833 </w:instrText>
          </w:r>
          <w:r>
            <w:rPr>
              <w:bCs/>
              <w:highlight w:val="none"/>
              <w:lang w:val="zh-CN"/>
            </w:rPr>
            <w:fldChar w:fldCharType="separate"/>
          </w:r>
          <w:r>
            <w:rPr>
              <w:rFonts w:hint="default" w:ascii="Times New Roman" w:hAnsi="Times New Roman" w:cs="Times New Roman"/>
              <w:bCs w:val="0"/>
              <w:caps w:val="0"/>
              <w:kern w:val="0"/>
              <w:szCs w:val="21"/>
              <w:highlight w:val="none"/>
              <w:lang w:val="en-US" w:eastAsia="zh-CN"/>
            </w:rPr>
            <w:t>A部分  通  则</w:t>
          </w:r>
          <w:r>
            <w:tab/>
          </w:r>
          <w:r>
            <w:fldChar w:fldCharType="begin"/>
          </w:r>
          <w:r>
            <w:instrText xml:space="preserve"> PAGEREF _Toc23833 </w:instrText>
          </w:r>
          <w:r>
            <w:fldChar w:fldCharType="separate"/>
          </w:r>
          <w:r>
            <w:t>23</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_Toc4797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2</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术语和定义</w:t>
          </w:r>
          <w:r>
            <w:tab/>
          </w:r>
          <w:r>
            <w:fldChar w:fldCharType="begin"/>
          </w:r>
          <w:r>
            <w:instrText xml:space="preserve"> PAGEREF _Toc4797 </w:instrText>
          </w:r>
          <w:r>
            <w:fldChar w:fldCharType="separate"/>
          </w:r>
          <w:r>
            <w:t>23</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_Toc8151 </w:instrText>
          </w:r>
          <w:r>
            <w:rPr>
              <w:bCs/>
              <w:highlight w:val="none"/>
              <w:lang w:val="zh-CN"/>
            </w:rPr>
            <w:fldChar w:fldCharType="separate"/>
          </w:r>
          <w:r>
            <w:rPr>
              <w:rFonts w:hint="default" w:ascii="Times New Roman" w:hAnsi="Times New Roman" w:cs="Times New Roman"/>
              <w:bCs w:val="0"/>
              <w:caps w:val="0"/>
              <w:kern w:val="0"/>
              <w:szCs w:val="21"/>
              <w:highlight w:val="none"/>
              <w:lang w:val="en-US" w:eastAsia="zh-CN"/>
            </w:rPr>
            <w:t>C部分  船 舶 要 求</w:t>
          </w:r>
          <w:r>
            <w:tab/>
          </w:r>
          <w:r>
            <w:fldChar w:fldCharType="begin"/>
          </w:r>
          <w:r>
            <w:instrText xml:space="preserve"> PAGEREF _Toc8151 </w:instrText>
          </w:r>
          <w:r>
            <w:fldChar w:fldCharType="separate"/>
          </w:r>
          <w:r>
            <w:t>23</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_Toc31779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7</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无线电设备：通则</w:t>
          </w:r>
          <w:r>
            <w:tab/>
          </w:r>
          <w:r>
            <w:fldChar w:fldCharType="begin"/>
          </w:r>
          <w:r>
            <w:instrText xml:space="preserve"> PAGEREF _Toc31779 </w:instrText>
          </w:r>
          <w:r>
            <w:fldChar w:fldCharType="separate"/>
          </w:r>
          <w:r>
            <w:t>23</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_Toc29541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8</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无线电设备：A1海区</w:t>
          </w:r>
          <w:r>
            <w:tab/>
          </w:r>
          <w:r>
            <w:fldChar w:fldCharType="begin"/>
          </w:r>
          <w:r>
            <w:instrText xml:space="preserve"> PAGEREF _Toc29541 </w:instrText>
          </w:r>
          <w:r>
            <w:fldChar w:fldCharType="separate"/>
          </w:r>
          <w:r>
            <w:t>23</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_Toc25697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9</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无线电设备：</w:t>
          </w:r>
          <w:r>
            <w:rPr>
              <w:rFonts w:hint="default" w:ascii="Times New Roman" w:hAnsi="Times New Roman" w:cs="Times New Roman"/>
              <w:iCs/>
              <w:highlight w:val="none"/>
            </w:rPr>
            <w:t>A1和A2海区</w:t>
          </w:r>
          <w:r>
            <w:tab/>
          </w:r>
          <w:r>
            <w:fldChar w:fldCharType="begin"/>
          </w:r>
          <w:r>
            <w:instrText xml:space="preserve"> PAGEREF _Toc25697 </w:instrText>
          </w:r>
          <w:r>
            <w:fldChar w:fldCharType="separate"/>
          </w:r>
          <w:r>
            <w:t>24</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_Toc23450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10</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无线电设备：</w:t>
          </w:r>
          <w:r>
            <w:rPr>
              <w:rFonts w:hint="default" w:ascii="Times New Roman" w:hAnsi="Times New Roman" w:cs="Times New Roman"/>
              <w:iCs/>
              <w:highlight w:val="none"/>
            </w:rPr>
            <w:t>A1</w:t>
          </w:r>
          <w:r>
            <w:rPr>
              <w:rFonts w:hint="eastAsia" w:ascii="Times New Roman" w:hAnsi="Times New Roman" w:cs="Times New Roman"/>
              <w:iCs/>
              <w:highlight w:val="none"/>
              <w:lang w:eastAsia="zh-CN"/>
            </w:rPr>
            <w:t>、</w:t>
          </w:r>
          <w:r>
            <w:rPr>
              <w:rFonts w:hint="default" w:ascii="Times New Roman" w:hAnsi="Times New Roman" w:cs="Times New Roman"/>
              <w:iCs/>
              <w:highlight w:val="none"/>
            </w:rPr>
            <w:t>A2</w:t>
          </w:r>
          <w:r>
            <w:rPr>
              <w:rFonts w:hint="eastAsia" w:ascii="Times New Roman" w:hAnsi="Times New Roman" w:cs="Times New Roman"/>
              <w:iCs/>
              <w:highlight w:val="none"/>
              <w:lang w:eastAsia="zh-CN"/>
            </w:rPr>
            <w:t>和</w:t>
          </w:r>
          <w:r>
            <w:rPr>
              <w:rFonts w:hint="eastAsia" w:ascii="Times New Roman" w:hAnsi="Times New Roman" w:cs="Times New Roman"/>
              <w:iCs/>
              <w:highlight w:val="none"/>
              <w:lang w:val="en-US" w:eastAsia="zh-CN"/>
            </w:rPr>
            <w:t>A3</w:t>
          </w:r>
          <w:r>
            <w:rPr>
              <w:rFonts w:hint="default" w:ascii="Times New Roman" w:hAnsi="Times New Roman" w:cs="Times New Roman"/>
              <w:iCs/>
              <w:highlight w:val="none"/>
            </w:rPr>
            <w:t>海区</w:t>
          </w:r>
          <w:r>
            <w:tab/>
          </w:r>
          <w:r>
            <w:fldChar w:fldCharType="begin"/>
          </w:r>
          <w:r>
            <w:instrText xml:space="preserve"> PAGEREF _Toc23450 </w:instrText>
          </w:r>
          <w:r>
            <w:fldChar w:fldCharType="separate"/>
          </w:r>
          <w:r>
            <w:t>24</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_Toc27669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12</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值班</w:t>
          </w:r>
          <w:r>
            <w:tab/>
          </w:r>
          <w:r>
            <w:fldChar w:fldCharType="begin"/>
          </w:r>
          <w:r>
            <w:instrText xml:space="preserve"> PAGEREF _Toc27669 </w:instrText>
          </w:r>
          <w:r>
            <w:fldChar w:fldCharType="separate"/>
          </w:r>
          <w:r>
            <w:t>24</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_Toc6685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13</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电源</w:t>
          </w:r>
          <w:r>
            <w:tab/>
          </w:r>
          <w:r>
            <w:fldChar w:fldCharType="begin"/>
          </w:r>
          <w:r>
            <w:instrText xml:space="preserve"> PAGEREF _Toc6685 </w:instrText>
          </w:r>
          <w:r>
            <w:fldChar w:fldCharType="separate"/>
          </w:r>
          <w:r>
            <w:t>24</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_Toc27596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14</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性能标准</w:t>
          </w:r>
          <w:r>
            <w:tab/>
          </w:r>
          <w:r>
            <w:fldChar w:fldCharType="begin"/>
          </w:r>
          <w:r>
            <w:instrText xml:space="preserve"> PAGEREF _Toc27596 </w:instrText>
          </w:r>
          <w:r>
            <w:fldChar w:fldCharType="separate"/>
          </w:r>
          <w:r>
            <w:t>24</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_Toc13534 </w:instrText>
          </w:r>
          <w:r>
            <w:rPr>
              <w:bCs/>
              <w:highlight w:val="none"/>
              <w:lang w:val="zh-CN"/>
            </w:rPr>
            <w:fldChar w:fldCharType="separate"/>
          </w:r>
          <w:r>
            <w:rPr>
              <w:rFonts w:cstheme="minorBidi"/>
              <w:bCs w:val="0"/>
              <w:caps w:val="0"/>
              <w:kern w:val="2"/>
              <w:highlight w:val="none"/>
              <w:lang w:val="en-US"/>
            </w:rPr>
            <w:t>第5章　航行</w:t>
          </w:r>
          <w:r>
            <w:rPr>
              <w:rFonts w:hint="eastAsia" w:cstheme="minorBidi"/>
              <w:bCs w:val="0"/>
              <w:caps w:val="0"/>
              <w:kern w:val="2"/>
              <w:highlight w:val="none"/>
              <w:lang w:val="en-US"/>
            </w:rPr>
            <w:t>设备（SOLAS公约第V章）</w:t>
          </w:r>
          <w:r>
            <w:tab/>
          </w:r>
          <w:r>
            <w:fldChar w:fldCharType="begin"/>
          </w:r>
          <w:r>
            <w:instrText xml:space="preserve"> PAGEREF _Toc13534 </w:instrText>
          </w:r>
          <w:r>
            <w:fldChar w:fldCharType="separate"/>
          </w:r>
          <w:r>
            <w:t>26</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_Toc27384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第15条　关于驾驶台设计、航行系统和设备的设计和布置以及驾驶台程序的原则</w:t>
          </w:r>
          <w:r>
            <w:tab/>
          </w:r>
          <w:r>
            <w:fldChar w:fldCharType="begin"/>
          </w:r>
          <w:r>
            <w:instrText xml:space="preserve"> PAGEREF _Toc27384 </w:instrText>
          </w:r>
          <w:r>
            <w:fldChar w:fldCharType="separate"/>
          </w:r>
          <w:r>
            <w:t>26</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_Toc29091 </w:instrText>
          </w:r>
          <w:r>
            <w:rPr>
              <w:bCs/>
              <w:highlight w:val="none"/>
              <w:lang w:val="zh-CN"/>
            </w:rPr>
            <w:fldChar w:fldCharType="separate"/>
          </w:r>
          <w:r>
            <w:rPr>
              <w:rFonts w:hint="eastAsia" w:ascii="Times New Roman" w:hAnsi="Times New Roman" w:cstheme="minorBidi"/>
              <w:bCs w:val="0"/>
              <w:caps w:val="0"/>
              <w:kern w:val="0"/>
              <w:szCs w:val="21"/>
              <w:highlight w:val="none"/>
              <w:lang w:val="en-US" w:eastAsia="zh-CN"/>
            </w:rPr>
            <w:t>第18条　航行系统和设备以及航行数据记录仪下的认可、检验和性能标准</w:t>
          </w:r>
          <w:r>
            <w:tab/>
          </w:r>
          <w:r>
            <w:fldChar w:fldCharType="begin"/>
          </w:r>
          <w:r>
            <w:instrText xml:space="preserve"> PAGEREF _Toc29091 </w:instrText>
          </w:r>
          <w:r>
            <w:fldChar w:fldCharType="separate"/>
          </w:r>
          <w:r>
            <w:t>26</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_Toc3049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第1</w:t>
          </w:r>
          <w:r>
            <w:rPr>
              <w:rFonts w:hint="eastAsia" w:ascii="Times New Roman" w:hAnsi="Times New Roman" w:cstheme="minorBidi"/>
              <w:bCs w:val="0"/>
              <w:caps w:val="0"/>
              <w:kern w:val="0"/>
              <w:szCs w:val="21"/>
              <w:highlight w:val="none"/>
              <w:lang w:val="en-US" w:eastAsia="zh-CN"/>
            </w:rPr>
            <w:t>9</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船载航行系统和设备的配备要求</w:t>
          </w:r>
          <w:r>
            <w:tab/>
          </w:r>
          <w:r>
            <w:fldChar w:fldCharType="begin"/>
          </w:r>
          <w:r>
            <w:instrText xml:space="preserve"> PAGEREF _Toc3049 </w:instrText>
          </w:r>
          <w:r>
            <w:fldChar w:fldCharType="separate"/>
          </w:r>
          <w:r>
            <w:t>26</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_Toc30388 </w:instrText>
          </w:r>
          <w:r>
            <w:rPr>
              <w:bCs/>
              <w:highlight w:val="none"/>
              <w:lang w:val="zh-CN"/>
            </w:rPr>
            <w:fldChar w:fldCharType="separate"/>
          </w:r>
          <w:r>
            <w:rPr>
              <w:rFonts w:hint="eastAsia" w:ascii="Times New Roman" w:hAnsi="Times New Roman" w:cstheme="minorBidi"/>
              <w:bCs w:val="0"/>
              <w:caps w:val="0"/>
              <w:kern w:val="0"/>
              <w:szCs w:val="21"/>
              <w:highlight w:val="none"/>
              <w:lang w:val="en-US" w:eastAsia="zh-CN"/>
            </w:rPr>
            <w:t>第20条　航行数据记录仪（VDR）</w:t>
          </w:r>
          <w:r>
            <w:tab/>
          </w:r>
          <w:r>
            <w:fldChar w:fldCharType="begin"/>
          </w:r>
          <w:r>
            <w:instrText xml:space="preserve"> PAGEREF _Toc30388 </w:instrText>
          </w:r>
          <w:r>
            <w:fldChar w:fldCharType="separate"/>
          </w:r>
          <w:r>
            <w:t>27</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_Toc31789 </w:instrText>
          </w:r>
          <w:r>
            <w:rPr>
              <w:bCs/>
              <w:highlight w:val="none"/>
              <w:lang w:val="zh-CN"/>
            </w:rPr>
            <w:fldChar w:fldCharType="separate"/>
          </w:r>
          <w:r>
            <w:rPr>
              <w:rFonts w:cstheme="minorBidi"/>
              <w:bCs w:val="0"/>
              <w:caps w:val="0"/>
              <w:kern w:val="2"/>
              <w:highlight w:val="none"/>
              <w:lang w:val="en-US"/>
            </w:rPr>
            <w:t>第</w:t>
          </w:r>
          <w:r>
            <w:rPr>
              <w:rFonts w:hint="eastAsia" w:cstheme="minorBidi"/>
              <w:bCs w:val="0"/>
              <w:caps w:val="0"/>
              <w:kern w:val="2"/>
              <w:highlight w:val="none"/>
              <w:lang w:val="en-US" w:eastAsia="zh-CN"/>
            </w:rPr>
            <w:t>6</w:t>
          </w:r>
          <w:r>
            <w:rPr>
              <w:rFonts w:cstheme="minorBidi"/>
              <w:bCs w:val="0"/>
              <w:caps w:val="0"/>
              <w:kern w:val="2"/>
              <w:highlight w:val="none"/>
              <w:lang w:val="en-US"/>
            </w:rPr>
            <w:t>章　</w:t>
          </w:r>
          <w:r>
            <w:rPr>
              <w:rFonts w:hint="eastAsia" w:cstheme="minorBidi"/>
              <w:bCs w:val="0"/>
              <w:caps w:val="0"/>
              <w:kern w:val="2"/>
              <w:highlight w:val="none"/>
              <w:lang w:val="en-US" w:eastAsia="zh-CN"/>
            </w:rPr>
            <w:t>货物和燃油装运</w:t>
          </w:r>
          <w:r>
            <w:rPr>
              <w:rFonts w:hint="default" w:ascii="Times New Roman" w:hAnsi="Times New Roman" w:cs="Times New Roman"/>
              <w:bCs w:val="0"/>
              <w:caps w:val="0"/>
              <w:kern w:val="2"/>
              <w:szCs w:val="32"/>
              <w:highlight w:val="none"/>
              <w:lang w:val="en-US"/>
            </w:rPr>
            <w:t>（SOLAS公约第</w:t>
          </w:r>
          <w:r>
            <w:rPr>
              <w:rFonts w:hint="default" w:ascii="Times New Roman" w:hAnsi="Times New Roman" w:cs="Times New Roman"/>
              <w:szCs w:val="32"/>
              <w:highlight w:val="none"/>
            </w:rPr>
            <w:t>VI</w:t>
          </w:r>
          <w:r>
            <w:rPr>
              <w:rFonts w:hint="default" w:ascii="Times New Roman" w:hAnsi="Times New Roman" w:cs="Times New Roman"/>
              <w:bCs w:val="0"/>
              <w:caps w:val="0"/>
              <w:kern w:val="2"/>
              <w:szCs w:val="32"/>
              <w:highlight w:val="none"/>
              <w:lang w:val="en-US"/>
            </w:rPr>
            <w:t>章）</w:t>
          </w:r>
          <w:r>
            <w:tab/>
          </w:r>
          <w:r>
            <w:fldChar w:fldCharType="begin"/>
          </w:r>
          <w:r>
            <w:instrText xml:space="preserve"> PAGEREF _Toc31789 </w:instrText>
          </w:r>
          <w:r>
            <w:fldChar w:fldCharType="separate"/>
          </w:r>
          <w:r>
            <w:t>28</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_Toc551 </w:instrText>
          </w:r>
          <w:r>
            <w:rPr>
              <w:bCs/>
              <w:highlight w:val="none"/>
              <w:lang w:val="zh-CN"/>
            </w:rPr>
            <w:fldChar w:fldCharType="separate"/>
          </w:r>
          <w:r>
            <w:rPr>
              <w:rFonts w:hint="eastAsia" w:ascii="Times New Roman" w:hAnsi="Times New Roman" w:cstheme="minorBidi"/>
              <w:bCs w:val="0"/>
              <w:caps w:val="0"/>
              <w:kern w:val="0"/>
              <w:szCs w:val="21"/>
              <w:highlight w:val="none"/>
              <w:lang w:val="en-US" w:eastAsia="zh-CN"/>
            </w:rPr>
            <w:t>A部分  一 般 规 定</w:t>
          </w:r>
          <w:r>
            <w:tab/>
          </w:r>
          <w:r>
            <w:fldChar w:fldCharType="begin"/>
          </w:r>
          <w:r>
            <w:instrText xml:space="preserve"> PAGEREF _Toc551 </w:instrText>
          </w:r>
          <w:r>
            <w:fldChar w:fldCharType="separate"/>
          </w:r>
          <w:r>
            <w:t>28</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_Toc13628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5</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堆装和系固</w:t>
          </w:r>
          <w:r>
            <w:tab/>
          </w:r>
          <w:r>
            <w:fldChar w:fldCharType="begin"/>
          </w:r>
          <w:r>
            <w:instrText xml:space="preserve"> PAGEREF _Toc13628 </w:instrText>
          </w:r>
          <w:r>
            <w:fldChar w:fldCharType="separate"/>
          </w:r>
          <w:r>
            <w:t>28</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_Toc29794 </w:instrText>
          </w:r>
          <w:r>
            <w:rPr>
              <w:bCs/>
              <w:highlight w:val="none"/>
              <w:lang w:val="zh-CN"/>
            </w:rPr>
            <w:fldChar w:fldCharType="separate"/>
          </w:r>
          <w:r>
            <w:rPr>
              <w:rFonts w:hint="eastAsia" w:ascii="Times New Roman" w:hAnsi="Times New Roman" w:eastAsiaTheme="minorEastAsia" w:cstheme="minorBidi"/>
              <w:bCs w:val="0"/>
              <w:caps w:val="0"/>
              <w:kern w:val="0"/>
              <w:szCs w:val="21"/>
              <w:highlight w:val="none"/>
              <w:lang w:val="en-US" w:eastAsia="zh-CN" w:bidi="ar-SA"/>
            </w:rPr>
            <w:t>第5-2条　禁止在海上航行时进行散装液体货物混合和生产作业</w:t>
          </w:r>
          <w:r>
            <w:tab/>
          </w:r>
          <w:r>
            <w:fldChar w:fldCharType="begin"/>
          </w:r>
          <w:r>
            <w:instrText xml:space="preserve"> PAGEREF _Toc29794 </w:instrText>
          </w:r>
          <w:r>
            <w:fldChar w:fldCharType="separate"/>
          </w:r>
          <w:r>
            <w:t>28</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_Toc30573 </w:instrText>
          </w:r>
          <w:r>
            <w:rPr>
              <w:bCs/>
              <w:highlight w:val="none"/>
              <w:lang w:val="zh-CN"/>
            </w:rPr>
            <w:fldChar w:fldCharType="separate"/>
          </w:r>
          <w:r>
            <w:rPr>
              <w:rFonts w:cstheme="minorBidi"/>
              <w:bCs w:val="0"/>
              <w:caps w:val="0"/>
              <w:kern w:val="2"/>
              <w:highlight w:val="none"/>
              <w:lang w:val="en-US"/>
            </w:rPr>
            <w:t>第</w:t>
          </w:r>
          <w:r>
            <w:rPr>
              <w:rFonts w:hint="eastAsia" w:cstheme="minorBidi"/>
              <w:bCs w:val="0"/>
              <w:caps w:val="0"/>
              <w:kern w:val="2"/>
              <w:highlight w:val="none"/>
              <w:lang w:val="en-US" w:eastAsia="zh-CN"/>
            </w:rPr>
            <w:t>7</w:t>
          </w:r>
          <w:r>
            <w:rPr>
              <w:rFonts w:cstheme="minorBidi"/>
              <w:bCs w:val="0"/>
              <w:caps w:val="0"/>
              <w:kern w:val="2"/>
              <w:highlight w:val="none"/>
              <w:lang w:val="en-US"/>
            </w:rPr>
            <w:t>章　</w:t>
          </w:r>
          <w:r>
            <w:rPr>
              <w:rFonts w:hint="eastAsia" w:cstheme="minorBidi"/>
              <w:bCs w:val="0"/>
              <w:caps w:val="0"/>
              <w:kern w:val="2"/>
              <w:highlight w:val="none"/>
              <w:lang w:val="en-US" w:eastAsia="zh-CN"/>
            </w:rPr>
            <w:t>危险货物的装运</w:t>
          </w:r>
          <w:r>
            <w:rPr>
              <w:rFonts w:hint="default" w:ascii="Times New Roman" w:hAnsi="Times New Roman" w:cs="Times New Roman"/>
              <w:bCs w:val="0"/>
              <w:caps w:val="0"/>
              <w:kern w:val="2"/>
              <w:szCs w:val="32"/>
              <w:highlight w:val="none"/>
              <w:lang w:val="en-US"/>
            </w:rPr>
            <w:t>（SOLAS公约第VII章）</w:t>
          </w:r>
          <w:r>
            <w:tab/>
          </w:r>
          <w:r>
            <w:fldChar w:fldCharType="begin"/>
          </w:r>
          <w:r>
            <w:instrText xml:space="preserve"> PAGEREF _Toc30573 </w:instrText>
          </w:r>
          <w:r>
            <w:fldChar w:fldCharType="separate"/>
          </w:r>
          <w:r>
            <w:t>29</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_Toc4040 </w:instrText>
          </w:r>
          <w:r>
            <w:rPr>
              <w:bCs/>
              <w:highlight w:val="none"/>
              <w:lang w:val="zh-CN"/>
            </w:rPr>
            <w:fldChar w:fldCharType="separate"/>
          </w:r>
          <w:r>
            <w:rPr>
              <w:rFonts w:hint="default" w:ascii="Times New Roman" w:hAnsi="Times New Roman" w:cs="Times New Roman"/>
              <w:bCs w:val="0"/>
              <w:caps w:val="0"/>
              <w:kern w:val="0"/>
              <w:szCs w:val="21"/>
              <w:highlight w:val="none"/>
              <w:lang w:val="en-US" w:eastAsia="zh-CN"/>
            </w:rPr>
            <w:t>A部分  包装危险货物的装运</w:t>
          </w:r>
          <w:r>
            <w:tab/>
          </w:r>
          <w:r>
            <w:fldChar w:fldCharType="begin"/>
          </w:r>
          <w:r>
            <w:instrText xml:space="preserve"> PAGEREF _Toc4040 </w:instrText>
          </w:r>
          <w:r>
            <w:fldChar w:fldCharType="separate"/>
          </w:r>
          <w:r>
            <w:t>29</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_Toc31092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5</w:t>
          </w:r>
          <w:r>
            <w:rPr>
              <w:rFonts w:hint="eastAsia" w:ascii="Times New Roman" w:hAnsi="Times New Roman" w:cstheme="minorBidi"/>
              <w:bCs w:val="0"/>
              <w:caps w:val="0"/>
              <w:kern w:val="0"/>
              <w:szCs w:val="21"/>
              <w:highlight w:val="none"/>
              <w:lang w:val="en-US"/>
            </w:rPr>
            <w:t>条　</w:t>
          </w:r>
          <w:r>
            <w:rPr>
              <w:rFonts w:hint="eastAsia" w:ascii="Times New Roman" w:hAnsi="Times New Roman" w:cstheme="minorBidi"/>
              <w:bCs w:val="0"/>
              <w:caps w:val="0"/>
              <w:kern w:val="0"/>
              <w:szCs w:val="21"/>
              <w:highlight w:val="none"/>
              <w:lang w:val="en-US" w:eastAsia="zh-CN"/>
            </w:rPr>
            <w:t>货物系固手册</w:t>
          </w:r>
          <w:r>
            <w:tab/>
          </w:r>
          <w:r>
            <w:fldChar w:fldCharType="begin"/>
          </w:r>
          <w:r>
            <w:instrText xml:space="preserve"> PAGEREF _Toc31092 </w:instrText>
          </w:r>
          <w:r>
            <w:fldChar w:fldCharType="separate"/>
          </w:r>
          <w:r>
            <w:t>29</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_Toc7851 </w:instrText>
          </w:r>
          <w:r>
            <w:rPr>
              <w:bCs/>
              <w:highlight w:val="none"/>
              <w:lang w:val="zh-CN"/>
            </w:rPr>
            <w:fldChar w:fldCharType="separate"/>
          </w:r>
          <w:r>
            <w:rPr>
              <w:rFonts w:hint="eastAsia" w:cstheme="minorBidi"/>
              <w:bCs w:val="0"/>
              <w:caps w:val="0"/>
              <w:kern w:val="2"/>
              <w:highlight w:val="none"/>
              <w:lang w:val="en-US" w:eastAsia="zh-CN"/>
            </w:rPr>
            <w:t xml:space="preserve">附录  </w:t>
          </w:r>
          <w:r>
            <w:rPr>
              <w:rFonts w:hint="eastAsia" w:cstheme="minorBidi"/>
              <w:bCs w:val="0"/>
              <w:caps w:val="0"/>
              <w:kern w:val="2"/>
              <w:highlight w:val="none"/>
              <w:lang w:val="zh-CN"/>
            </w:rPr>
            <w:t>国际船舶安全装运密封装辐射性核燃料、钚和强放射性废料规则（INF规则）</w:t>
          </w:r>
          <w:r>
            <w:tab/>
          </w:r>
          <w:r>
            <w:fldChar w:fldCharType="begin"/>
          </w:r>
          <w:r>
            <w:instrText xml:space="preserve"> PAGEREF _Toc7851 </w:instrText>
          </w:r>
          <w:r>
            <w:fldChar w:fldCharType="separate"/>
          </w:r>
          <w:r>
            <w:t>30</w:t>
          </w:r>
          <w:r>
            <w:fldChar w:fldCharType="end"/>
          </w:r>
          <w:r>
            <w:rPr>
              <w:bCs/>
              <w:highlight w:val="none"/>
              <w:lang w:val="zh-CN"/>
            </w:rPr>
            <w:fldChar w:fldCharType="end"/>
          </w:r>
        </w:p>
        <w:p>
          <w:pPr>
            <w:pStyle w:val="23"/>
            <w:tabs>
              <w:tab w:val="right" w:leader="dot" w:pos="8306"/>
              <w:tab w:val="clear" w:pos="4887"/>
            </w:tabs>
          </w:pPr>
          <w:r>
            <w:rPr>
              <w:bCs/>
              <w:highlight w:val="none"/>
              <w:lang w:val="zh-CN"/>
            </w:rPr>
            <w:fldChar w:fldCharType="begin"/>
          </w:r>
          <w:r>
            <w:rPr>
              <w:bCs/>
              <w:highlight w:val="none"/>
              <w:lang w:val="zh-CN"/>
            </w:rPr>
            <w:instrText xml:space="preserve"> HYPERLINK \l _Toc22786 </w:instrText>
          </w:r>
          <w:r>
            <w:rPr>
              <w:bCs/>
              <w:highlight w:val="none"/>
              <w:lang w:val="zh-CN"/>
            </w:rPr>
            <w:fldChar w:fldCharType="separate"/>
          </w:r>
          <w:r>
            <w:rPr>
              <w:rFonts w:hint="eastAsia" w:ascii="Times New Roman" w:hAnsi="Times New Roman" w:cstheme="minorBidi"/>
              <w:bCs w:val="0"/>
              <w:caps w:val="0"/>
              <w:kern w:val="0"/>
              <w:szCs w:val="21"/>
              <w:highlight w:val="none"/>
              <w:lang w:val="en-US"/>
            </w:rPr>
            <w:t>第</w:t>
          </w:r>
          <w:r>
            <w:rPr>
              <w:rFonts w:hint="eastAsia" w:ascii="Times New Roman" w:hAnsi="Times New Roman" w:cstheme="minorBidi"/>
              <w:bCs w:val="0"/>
              <w:caps w:val="0"/>
              <w:kern w:val="0"/>
              <w:szCs w:val="21"/>
              <w:highlight w:val="none"/>
              <w:lang w:val="en-US" w:eastAsia="zh-CN"/>
            </w:rPr>
            <w:t>6章</w:t>
          </w:r>
          <w:r>
            <w:rPr>
              <w:rFonts w:hint="eastAsia" w:ascii="Times New Roman" w:hAnsi="Times New Roman" w:cstheme="minorBidi"/>
              <w:bCs w:val="0"/>
              <w:caps w:val="0"/>
              <w:kern w:val="0"/>
              <w:szCs w:val="21"/>
              <w:highlight w:val="none"/>
              <w:lang w:val="en-US"/>
            </w:rPr>
            <w:t>　</w:t>
          </w:r>
          <w:r>
            <w:rPr>
              <w:rFonts w:hint="eastAsia" w:ascii="Times New Roman" w:hAnsi="Times New Roman" w:cstheme="minorBidi"/>
              <w:bCs w:val="0"/>
              <w:caps w:val="0"/>
              <w:kern w:val="0"/>
              <w:szCs w:val="21"/>
              <w:highlight w:val="none"/>
              <w:lang w:val="en-US" w:eastAsia="zh-CN"/>
            </w:rPr>
            <w:t>货物系固装置</w:t>
          </w:r>
          <w:r>
            <w:tab/>
          </w:r>
          <w:r>
            <w:fldChar w:fldCharType="begin"/>
          </w:r>
          <w:r>
            <w:instrText xml:space="preserve"> PAGEREF _Toc22786 </w:instrText>
          </w:r>
          <w:r>
            <w:fldChar w:fldCharType="separate"/>
          </w:r>
          <w:r>
            <w:t>30</w:t>
          </w:r>
          <w:r>
            <w:fldChar w:fldCharType="end"/>
          </w:r>
          <w:r>
            <w:rPr>
              <w:bCs/>
              <w:highlight w:val="none"/>
              <w:lang w:val="zh-CN"/>
            </w:rPr>
            <w:fldChar w:fldCharType="end"/>
          </w:r>
        </w:p>
        <w:p>
          <w:pPr>
            <w:pStyle w:val="33"/>
            <w:tabs>
              <w:tab w:val="right" w:leader="dot" w:pos="8306"/>
            </w:tabs>
          </w:pPr>
          <w:r>
            <w:rPr>
              <w:bCs/>
              <w:highlight w:val="none"/>
              <w:lang w:val="zh-CN"/>
            </w:rPr>
            <w:fldChar w:fldCharType="begin"/>
          </w:r>
          <w:r>
            <w:rPr>
              <w:bCs/>
              <w:highlight w:val="none"/>
              <w:lang w:val="zh-CN"/>
            </w:rPr>
            <w:instrText xml:space="preserve"> HYPERLINK \l _Toc31227 </w:instrText>
          </w:r>
          <w:r>
            <w:rPr>
              <w:bCs/>
              <w:highlight w:val="none"/>
              <w:lang w:val="zh-CN"/>
            </w:rPr>
            <w:fldChar w:fldCharType="separate"/>
          </w:r>
          <w:r>
            <w:rPr>
              <w:rFonts w:cstheme="minorBidi"/>
              <w:bCs w:val="0"/>
              <w:caps w:val="0"/>
              <w:kern w:val="2"/>
              <w:highlight w:val="none"/>
              <w:lang w:val="en-US"/>
            </w:rPr>
            <w:t>第15章　信号设备</w:t>
          </w:r>
          <w:r>
            <w:tab/>
          </w:r>
          <w:r>
            <w:fldChar w:fldCharType="begin"/>
          </w:r>
          <w:r>
            <w:instrText xml:space="preserve"> PAGEREF _Toc31227 </w:instrText>
          </w:r>
          <w:r>
            <w:fldChar w:fldCharType="separate"/>
          </w:r>
          <w:r>
            <w:t>31</w:t>
          </w:r>
          <w:r>
            <w:fldChar w:fldCharType="end"/>
          </w:r>
          <w:r>
            <w:rPr>
              <w:bCs/>
              <w:highlight w:val="none"/>
              <w:lang w:val="zh-CN"/>
            </w:rPr>
            <w:fldChar w:fldCharType="end"/>
          </w:r>
        </w:p>
        <w:p>
          <w:pPr>
            <w:pStyle w:val="42"/>
            <w:tabs>
              <w:tab w:val="right" w:leader="dot" w:pos="8306"/>
            </w:tabs>
          </w:pPr>
          <w:r>
            <w:rPr>
              <w:bCs/>
              <w:highlight w:val="none"/>
              <w:lang w:val="zh-CN"/>
            </w:rPr>
            <w:fldChar w:fldCharType="begin"/>
          </w:r>
          <w:r>
            <w:rPr>
              <w:bCs/>
              <w:highlight w:val="none"/>
              <w:lang w:val="zh-CN"/>
            </w:rPr>
            <w:instrText xml:space="preserve"> HYPERLINK \l _Toc32064 </w:instrText>
          </w:r>
          <w:r>
            <w:rPr>
              <w:bCs/>
              <w:highlight w:val="none"/>
              <w:lang w:val="zh-CN"/>
            </w:rPr>
            <w:fldChar w:fldCharType="separate"/>
          </w:r>
          <w:r>
            <w:rPr>
              <w:rFonts w:ascii="Times New Roman" w:hAnsi="Times New Roman" w:cstheme="minorBidi"/>
              <w:bCs w:val="0"/>
              <w:caps w:val="0"/>
              <w:kern w:val="0"/>
              <w:szCs w:val="21"/>
              <w:highlight w:val="none"/>
              <w:lang w:val="en-US"/>
            </w:rPr>
            <w:t>1 通则</w:t>
          </w:r>
          <w:r>
            <w:tab/>
          </w:r>
          <w:r>
            <w:fldChar w:fldCharType="begin"/>
          </w:r>
          <w:r>
            <w:instrText xml:space="preserve"> PAGEREF _Toc32064 </w:instrText>
          </w:r>
          <w:r>
            <w:fldChar w:fldCharType="separate"/>
          </w:r>
          <w:r>
            <w:t>31</w:t>
          </w:r>
          <w:r>
            <w:fldChar w:fldCharType="end"/>
          </w:r>
          <w:r>
            <w:rPr>
              <w:bCs/>
              <w:highlight w:val="none"/>
              <w:lang w:val="zh-CN"/>
            </w:rPr>
            <w:fldChar w:fldCharType="end"/>
          </w:r>
        </w:p>
        <w:p>
          <w:pPr>
            <w:rPr>
              <w:highlight w:val="none"/>
            </w:rPr>
          </w:pPr>
          <w:r>
            <w:rPr>
              <w:bCs/>
              <w:highlight w:val="none"/>
              <w:lang w:val="zh-CN"/>
            </w:rPr>
            <w:fldChar w:fldCharType="end"/>
          </w:r>
        </w:p>
      </w:sdtContent>
    </w:sdt>
    <w:p>
      <w:pPr>
        <w:pStyle w:val="2"/>
        <w:ind w:left="0"/>
        <w:jc w:val="center"/>
        <w:rPr>
          <w:rFonts w:hint="eastAsia" w:cstheme="minorBidi"/>
          <w:bCs w:val="0"/>
          <w:caps w:val="0"/>
          <w:kern w:val="2"/>
          <w:sz w:val="32"/>
          <w:highlight w:val="none"/>
          <w:lang w:val="en-US"/>
        </w:rPr>
        <w:sectPr>
          <w:footerReference r:id="rId5" w:type="default"/>
          <w:footerReference r:id="rId6" w:type="even"/>
          <w:footnotePr>
            <w:numFmt w:val="decimalEnclosedCircleChinese"/>
            <w:numRestart w:val="eachPage"/>
          </w:footnotePr>
          <w:pgSz w:w="11906" w:h="16838"/>
          <w:pgMar w:top="1440" w:right="1800" w:bottom="1440" w:left="1800" w:header="851" w:footer="992" w:gutter="0"/>
          <w:pgNumType w:fmt="upperRoman" w:start="1"/>
          <w:cols w:space="425" w:num="1"/>
          <w:docGrid w:type="lines" w:linePitch="312" w:charSpace="0"/>
        </w:sectPr>
      </w:pPr>
      <w:bookmarkStart w:id="2" w:name="_Toc8499"/>
      <w:bookmarkStart w:id="3" w:name="_Toc521938861"/>
    </w:p>
    <w:p>
      <w:pPr>
        <w:pStyle w:val="2"/>
        <w:ind w:left="0"/>
        <w:jc w:val="center"/>
        <w:rPr>
          <w:rFonts w:cstheme="minorBidi"/>
          <w:bCs w:val="0"/>
          <w:caps w:val="0"/>
          <w:kern w:val="2"/>
          <w:sz w:val="32"/>
          <w:highlight w:val="none"/>
          <w:lang w:val="en-US"/>
        </w:rPr>
      </w:pPr>
      <w:r>
        <w:rPr>
          <w:rFonts w:hint="eastAsia" w:cstheme="minorBidi"/>
          <w:bCs w:val="0"/>
          <w:caps w:val="0"/>
          <w:kern w:val="2"/>
          <w:sz w:val="32"/>
          <w:highlight w:val="none"/>
          <w:lang w:val="en-US"/>
        </w:rPr>
        <w:t>第</w:t>
      </w:r>
      <w:r>
        <w:rPr>
          <w:rFonts w:cstheme="minorBidi"/>
          <w:bCs w:val="0"/>
          <w:caps w:val="0"/>
          <w:kern w:val="2"/>
          <w:sz w:val="32"/>
          <w:highlight w:val="none"/>
          <w:lang w:val="en-US"/>
        </w:rPr>
        <w:t>1</w:t>
      </w:r>
      <w:r>
        <w:rPr>
          <w:rFonts w:hint="eastAsia" w:cstheme="minorBidi"/>
          <w:bCs w:val="0"/>
          <w:caps w:val="0"/>
          <w:kern w:val="2"/>
          <w:sz w:val="32"/>
          <w:highlight w:val="none"/>
          <w:lang w:val="en-US"/>
        </w:rPr>
        <w:t>章</w:t>
      </w:r>
      <w:r>
        <w:rPr>
          <w:rFonts w:cstheme="minorBidi"/>
          <w:bCs w:val="0"/>
          <w:caps w:val="0"/>
          <w:kern w:val="2"/>
          <w:sz w:val="32"/>
          <w:highlight w:val="none"/>
          <w:lang w:val="en-US"/>
        </w:rPr>
        <w:t xml:space="preserve">   </w:t>
      </w:r>
      <w:r>
        <w:rPr>
          <w:rFonts w:hint="eastAsia" w:cstheme="minorBidi"/>
          <w:bCs w:val="0"/>
          <w:caps w:val="0"/>
          <w:kern w:val="2"/>
          <w:sz w:val="32"/>
          <w:highlight w:val="none"/>
          <w:lang w:val="en-US"/>
        </w:rPr>
        <w:t>说明与要求</w:t>
      </w:r>
      <w:bookmarkEnd w:id="2"/>
    </w:p>
    <w:p>
      <w:pPr>
        <w:rPr>
          <w:highlight w:val="none"/>
        </w:rPr>
      </w:pPr>
    </w:p>
    <w:p>
      <w:pPr>
        <w:pStyle w:val="3"/>
        <w:ind w:left="0"/>
        <w:jc w:val="center"/>
        <w:rPr>
          <w:rFonts w:asciiTheme="minorEastAsia" w:hAnsiTheme="minorEastAsia"/>
          <w:sz w:val="28"/>
          <w:szCs w:val="28"/>
          <w:highlight w:val="none"/>
        </w:rPr>
      </w:pPr>
      <w:bookmarkStart w:id="4" w:name="_Toc24530"/>
      <w:r>
        <w:rPr>
          <w:rFonts w:asciiTheme="minorEastAsia" w:hAnsiTheme="minorEastAsia" w:cstheme="minorBidi"/>
          <w:caps w:val="0"/>
          <w:kern w:val="0"/>
          <w:sz w:val="28"/>
          <w:szCs w:val="28"/>
          <w:highlight w:val="none"/>
          <w:lang w:val="en-US"/>
        </w:rPr>
        <w:t>2</w:t>
      </w:r>
      <w:r>
        <w:rPr>
          <w:rFonts w:asciiTheme="minorEastAsia" w:hAnsiTheme="minorEastAsia"/>
          <w:sz w:val="28"/>
          <w:szCs w:val="28"/>
          <w:highlight w:val="none"/>
        </w:rPr>
        <w:t xml:space="preserve">  </w:t>
      </w:r>
      <w:r>
        <w:rPr>
          <w:rFonts w:hint="eastAsia" w:asciiTheme="minorEastAsia" w:hAnsiTheme="minorEastAsia"/>
          <w:sz w:val="28"/>
          <w:szCs w:val="28"/>
          <w:highlight w:val="none"/>
        </w:rPr>
        <w:t>说</w:t>
      </w:r>
      <w:r>
        <w:rPr>
          <w:rFonts w:asciiTheme="minorEastAsia" w:hAnsiTheme="minorEastAsia"/>
          <w:sz w:val="28"/>
          <w:szCs w:val="28"/>
          <w:highlight w:val="none"/>
        </w:rPr>
        <w:t xml:space="preserve">    </w:t>
      </w:r>
      <w:r>
        <w:rPr>
          <w:rFonts w:hint="eastAsia" w:asciiTheme="minorEastAsia" w:hAnsiTheme="minorEastAsia"/>
          <w:sz w:val="28"/>
          <w:szCs w:val="28"/>
          <w:highlight w:val="none"/>
        </w:rPr>
        <w:t>明</w:t>
      </w:r>
      <w:bookmarkEnd w:id="4"/>
    </w:p>
    <w:p>
      <w:pPr>
        <w:spacing w:after="156" w:afterLines="50"/>
        <w:jc w:val="center"/>
        <w:rPr>
          <w:rFonts w:ascii="楷体_GB2312" w:eastAsia="楷体_GB2312"/>
          <w:highlight w:val="none"/>
        </w:rPr>
      </w:pPr>
    </w:p>
    <w:p>
      <w:pPr>
        <w:spacing w:before="120" w:line="400" w:lineRule="exact"/>
        <w:ind w:firstLine="420" w:firstLineChars="200"/>
        <w:rPr>
          <w:strike/>
          <w:highlight w:val="none"/>
        </w:rPr>
      </w:pPr>
      <w:r>
        <w:rPr>
          <w:rFonts w:hint="eastAsia" w:ascii="楷体_GB2312" w:eastAsia="楷体_GB2312"/>
          <w:highlight w:val="none"/>
        </w:rPr>
        <w:t>在</w:t>
      </w:r>
      <w:r>
        <w:rPr>
          <w:rFonts w:hint="eastAsia" w:ascii="楷体_GB2312" w:eastAsia="楷体_GB2312"/>
          <w:highlight w:val="none"/>
          <w:lang w:eastAsia="zh-CN"/>
        </w:rPr>
        <w:t>原</w:t>
      </w:r>
      <w:r>
        <w:rPr>
          <w:rFonts w:hint="eastAsia" w:ascii="楷体_GB2312" w:eastAsia="楷体_GB2312"/>
          <w:highlight w:val="none"/>
        </w:rPr>
        <w:t>2.1（</w:t>
      </w:r>
      <w:r>
        <w:rPr>
          <w:rFonts w:hint="eastAsia" w:ascii="楷体_GB2312" w:eastAsia="楷体_GB2312"/>
          <w:highlight w:val="none"/>
          <w:lang w:val="en-US" w:eastAsia="zh-CN"/>
        </w:rPr>
        <w:t>32</w:t>
      </w:r>
      <w:r>
        <w:rPr>
          <w:rFonts w:hint="eastAsia" w:ascii="楷体_GB2312" w:eastAsia="楷体_GB2312"/>
          <w:highlight w:val="none"/>
        </w:rPr>
        <w:t>）之后新增如下：</w:t>
      </w:r>
    </w:p>
    <w:p>
      <w:pPr>
        <w:keepNext w:val="0"/>
        <w:keepLines w:val="0"/>
        <w:pageBreakBefore w:val="0"/>
        <w:widowControl w:val="0"/>
        <w:kinsoku/>
        <w:wordWrap/>
        <w:overflowPunct/>
        <w:topLinePunct w:val="0"/>
        <w:autoSpaceDE/>
        <w:autoSpaceDN/>
        <w:bidi w:val="0"/>
        <w:adjustRightInd/>
        <w:snapToGrid/>
        <w:spacing w:before="120" w:line="240" w:lineRule="auto"/>
        <w:ind w:firstLine="420" w:firstLineChars="200"/>
        <w:textAlignment w:val="auto"/>
        <w:rPr>
          <w:rFonts w:hint="default" w:ascii="Times New Roman" w:hAnsi="Times New Roman" w:cs="Times New Roman"/>
          <w:color w:val="FF0000"/>
          <w:highlight w:val="none"/>
          <w:u w:val="single"/>
        </w:rPr>
      </w:pPr>
      <w:r>
        <w:rPr>
          <w:rFonts w:hint="eastAsia" w:ascii="Times New Roman" w:hAnsi="Times New Roman" w:cs="Times New Roman"/>
          <w:highlight w:val="none"/>
          <w:lang w:eastAsia="zh-CN"/>
        </w:rPr>
        <w:t>“</w:t>
      </w:r>
      <w:r>
        <w:rPr>
          <w:rFonts w:hint="default" w:ascii="Times New Roman" w:hAnsi="Times New Roman" w:cs="Times New Roman"/>
          <w:color w:val="FF0000"/>
          <w:highlight w:val="none"/>
          <w:u w:val="single"/>
        </w:rPr>
        <w:t>（</w:t>
      </w:r>
      <w:r>
        <w:rPr>
          <w:rFonts w:hint="default" w:ascii="Times New Roman" w:hAnsi="Times New Roman" w:cs="Times New Roman"/>
          <w:color w:val="FF0000"/>
          <w:highlight w:val="none"/>
          <w:u w:val="single"/>
          <w:lang w:val="en-US" w:eastAsia="zh-CN"/>
        </w:rPr>
        <w:t>33</w:t>
      </w:r>
      <w:r>
        <w:rPr>
          <w:rFonts w:hint="default" w:ascii="Times New Roman" w:hAnsi="Times New Roman" w:cs="Times New Roman"/>
          <w:color w:val="FF0000"/>
          <w:highlight w:val="none"/>
          <w:u w:val="single"/>
        </w:rPr>
        <w:t>）2018年5月24日第99届海上安全委员会以MSC.436(99)决议通过的1974年国际海上人命安全公约修正案，其生效日期为2020年1月1日。</w:t>
      </w:r>
    </w:p>
    <w:p>
      <w:pPr>
        <w:keepNext w:val="0"/>
        <w:keepLines w:val="0"/>
        <w:pageBreakBefore w:val="0"/>
        <w:widowControl w:val="0"/>
        <w:kinsoku/>
        <w:wordWrap/>
        <w:overflowPunct/>
        <w:topLinePunct w:val="0"/>
        <w:autoSpaceDE/>
        <w:autoSpaceDN/>
        <w:bidi w:val="0"/>
        <w:adjustRightInd/>
        <w:snapToGrid/>
        <w:spacing w:before="120" w:line="240" w:lineRule="auto"/>
        <w:ind w:firstLine="420" w:firstLineChars="200"/>
        <w:textAlignment w:val="auto"/>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（3</w:t>
      </w:r>
      <w:r>
        <w:rPr>
          <w:rFonts w:hint="eastAsia" w:ascii="Times New Roman" w:hAnsi="Times New Roman" w:cs="Times New Roman"/>
          <w:color w:val="FF0000"/>
          <w:highlight w:val="none"/>
          <w:u w:val="single"/>
          <w:lang w:val="en-US" w:eastAsia="zh-CN"/>
        </w:rPr>
        <w:t>4</w:t>
      </w:r>
      <w:r>
        <w:rPr>
          <w:rFonts w:hint="default" w:ascii="Times New Roman" w:hAnsi="Times New Roman" w:cs="Times New Roman"/>
          <w:color w:val="FF0000"/>
          <w:highlight w:val="none"/>
          <w:u w:val="single"/>
        </w:rPr>
        <w:t>）2020年11月11日第102届海上安全委员会以MSC.474(102)决议通过的1974年国际海上人命安全公约修正案，其生效日期为2024年1月1日。</w:t>
      </w:r>
    </w:p>
    <w:p>
      <w:pPr>
        <w:keepNext w:val="0"/>
        <w:keepLines w:val="0"/>
        <w:pageBreakBefore w:val="0"/>
        <w:widowControl w:val="0"/>
        <w:kinsoku/>
        <w:wordWrap/>
        <w:overflowPunct/>
        <w:topLinePunct w:val="0"/>
        <w:autoSpaceDE/>
        <w:autoSpaceDN/>
        <w:bidi w:val="0"/>
        <w:adjustRightInd/>
        <w:snapToGrid/>
        <w:spacing w:before="120" w:line="240" w:lineRule="auto"/>
        <w:ind w:firstLine="420" w:firstLineChars="200"/>
        <w:textAlignment w:val="auto"/>
        <w:rPr>
          <w:rFonts w:hint="eastAsia" w:eastAsiaTheme="minorEastAsia"/>
          <w:highlight w:val="none"/>
          <w:lang w:eastAsia="zh-CN"/>
        </w:rPr>
      </w:pPr>
      <w:r>
        <w:rPr>
          <w:rFonts w:hint="default" w:ascii="Times New Roman" w:hAnsi="Times New Roman" w:cs="Times New Roman"/>
          <w:color w:val="FF0000"/>
          <w:highlight w:val="none"/>
          <w:u w:val="single"/>
        </w:rPr>
        <w:t>（3</w:t>
      </w:r>
      <w:r>
        <w:rPr>
          <w:rFonts w:hint="eastAsia" w:ascii="Times New Roman" w:hAnsi="Times New Roman" w:cs="Times New Roman"/>
          <w:color w:val="FF0000"/>
          <w:highlight w:val="none"/>
          <w:u w:val="single"/>
          <w:lang w:val="en-US" w:eastAsia="zh-CN"/>
        </w:rPr>
        <w:t>5</w:t>
      </w:r>
      <w:r>
        <w:rPr>
          <w:rFonts w:hint="default" w:ascii="Times New Roman" w:hAnsi="Times New Roman" w:cs="Times New Roman"/>
          <w:color w:val="FF0000"/>
          <w:highlight w:val="none"/>
          <w:u w:val="single"/>
        </w:rPr>
        <w:t>）2020年11月11日第103届海上安全委员会以MSC.482(103)决议通过的1974年国际海上人命安全公约修正案，其生效日期为2024年1月1日。</w:t>
      </w:r>
      <w:r>
        <w:rPr>
          <w:rFonts w:hint="eastAsia" w:ascii="Times New Roman" w:hAnsi="Times New Roman" w:cs="Times New Roman"/>
          <w:highlight w:val="none"/>
          <w:lang w:eastAsia="zh-CN"/>
        </w:rPr>
        <w:t>”</w:t>
      </w:r>
    </w:p>
    <w:p>
      <w:pPr>
        <w:spacing w:before="120" w:line="400" w:lineRule="exact"/>
        <w:ind w:firstLine="420" w:firstLineChars="200"/>
        <w:rPr>
          <w:rFonts w:hint="eastAsia" w:ascii="楷体_GB2312" w:eastAsia="楷体_GB2312"/>
          <w:highlight w:val="none"/>
        </w:rPr>
      </w:pPr>
    </w:p>
    <w:p>
      <w:pPr>
        <w:spacing w:before="120" w:line="400" w:lineRule="exact"/>
        <w:ind w:firstLine="420" w:firstLineChars="200"/>
        <w:rPr>
          <w:rFonts w:ascii="楷体_GB2312" w:eastAsia="楷体_GB2312"/>
          <w:highlight w:val="none"/>
        </w:rPr>
      </w:pPr>
      <w:r>
        <w:rPr>
          <w:rFonts w:hint="eastAsia" w:ascii="楷体_GB2312" w:eastAsia="楷体_GB2312"/>
          <w:highlight w:val="none"/>
          <w:lang w:eastAsia="zh-CN"/>
        </w:rPr>
        <w:t>原</w:t>
      </w:r>
      <w:r>
        <w:rPr>
          <w:rFonts w:hint="eastAsia" w:ascii="楷体_GB2312" w:eastAsia="楷体_GB2312"/>
          <w:highlight w:val="none"/>
        </w:rPr>
        <w:t>2.2</w:t>
      </w:r>
      <w:r>
        <w:rPr>
          <w:rFonts w:hint="eastAsia" w:ascii="楷体_GB2312" w:eastAsia="楷体_GB2312"/>
          <w:highlight w:val="none"/>
          <w:lang w:eastAsia="zh-CN"/>
        </w:rPr>
        <w:t>（</w:t>
      </w:r>
      <w:r>
        <w:rPr>
          <w:rFonts w:hint="eastAsia" w:ascii="楷体_GB2312" w:eastAsia="楷体_GB2312"/>
          <w:highlight w:val="none"/>
          <w:lang w:val="en-US" w:eastAsia="zh-CN"/>
        </w:rPr>
        <w:t>3</w:t>
      </w:r>
      <w:r>
        <w:rPr>
          <w:rFonts w:hint="eastAsia" w:ascii="楷体_GB2312" w:eastAsia="楷体_GB2312"/>
          <w:highlight w:val="none"/>
          <w:lang w:eastAsia="zh-CN"/>
        </w:rPr>
        <w:t>）改为</w:t>
      </w:r>
      <w:r>
        <w:rPr>
          <w:rFonts w:hint="eastAsia" w:ascii="楷体_GB2312" w:eastAsia="楷体_GB231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rPr>
          <w:rFonts w:hint="eastAsia" w:ascii="Times New Roman" w:hAnsi="Times New Roman" w:cs="Times New Roman" w:eastAsiaTheme="minorEastAsia"/>
          <w:highlight w:val="none"/>
          <w:lang w:eastAsia="zh-CN"/>
        </w:rPr>
      </w:pPr>
      <w:r>
        <w:rPr>
          <w:rFonts w:hint="eastAsia" w:ascii="Times New Roman" w:hAnsi="Times New Roman" w:cs="Times New Roman"/>
          <w:highlight w:val="none"/>
          <w:lang w:eastAsia="zh-CN"/>
        </w:rPr>
        <w:t>“</w:t>
      </w:r>
      <w:r>
        <w:rPr>
          <w:rFonts w:hint="default" w:ascii="Times New Roman" w:hAnsi="Times New Roman" w:cs="Times New Roman"/>
          <w:highlight w:val="none"/>
        </w:rPr>
        <w:t>（3）第2-2章附录1是第73届海上安全委员会以MSC.98（73）决议通过的《国际消防安全系统规则》（FSS规则），其生效日期为2002年7月1日,并包括MSC.206(81)（2010年7月1日生效）、MSC.217（82）（2010年7月1日生效）、MSC.292（87）（2012年1月1日生效）、MSC.311（88）（2012年7月1日生效）、MSC.327（90）（2014年1月1日生效）、MSC.339(91)（2014年7月1日生效）、MSC.367(93)（2016年1月1日生效）、MSC.403(96)（</w:t>
      </w:r>
      <w:r>
        <w:rPr>
          <w:rFonts w:hint="default" w:ascii="Times New Roman" w:hAnsi="Times New Roman" w:cs="Times New Roman"/>
          <w:strike/>
          <w:dstrike w:val="0"/>
          <w:color w:val="FF0000"/>
          <w:highlight w:val="none"/>
        </w:rPr>
        <w:t>2016</w:t>
      </w:r>
      <w:r>
        <w:rPr>
          <w:rFonts w:hint="default" w:ascii="Times New Roman" w:hAnsi="Times New Roman" w:cs="Times New Roman"/>
          <w:color w:val="FF0000"/>
          <w:highlight w:val="none"/>
          <w:u w:val="single"/>
        </w:rPr>
        <w:t>2020</w:t>
      </w:r>
      <w:r>
        <w:rPr>
          <w:rFonts w:hint="default" w:ascii="Times New Roman" w:hAnsi="Times New Roman" w:cs="Times New Roman"/>
          <w:highlight w:val="none"/>
        </w:rPr>
        <w:t>年1月1日生效）、MSC.410(97)（</w:t>
      </w:r>
      <w:r>
        <w:rPr>
          <w:rFonts w:hint="default" w:ascii="Times New Roman" w:hAnsi="Times New Roman" w:cs="Times New Roman"/>
          <w:strike/>
          <w:dstrike w:val="0"/>
          <w:color w:val="FF0000"/>
          <w:highlight w:val="none"/>
        </w:rPr>
        <w:t>2016</w:t>
      </w:r>
      <w:r>
        <w:rPr>
          <w:rFonts w:hint="default" w:ascii="Times New Roman" w:hAnsi="Times New Roman" w:cs="Times New Roman"/>
          <w:color w:val="FF0000"/>
          <w:highlight w:val="none"/>
          <w:u w:val="single"/>
        </w:rPr>
        <w:t>2020</w:t>
      </w:r>
      <w:r>
        <w:rPr>
          <w:rFonts w:hint="default" w:ascii="Times New Roman" w:hAnsi="Times New Roman" w:cs="Times New Roman"/>
          <w:highlight w:val="none"/>
        </w:rPr>
        <w:t>年1月1日生效）、</w:t>
      </w:r>
      <w:r>
        <w:rPr>
          <w:rFonts w:hint="default" w:ascii="Times New Roman" w:hAnsi="Times New Roman" w:cs="Times New Roman"/>
          <w:color w:val="FF0000"/>
          <w:highlight w:val="none"/>
          <w:u w:val="single"/>
        </w:rPr>
        <w:t>MSC.457(101)（2024年1月1日生效）和MSC.484(103)（2024年1月1日生效）</w:t>
      </w:r>
      <w:r>
        <w:rPr>
          <w:rFonts w:hint="default" w:ascii="Times New Roman" w:hAnsi="Times New Roman" w:cs="Times New Roman"/>
          <w:highlight w:val="none"/>
        </w:rPr>
        <w:t>修正案。</w:t>
      </w:r>
      <w:r>
        <w:rPr>
          <w:rFonts w:hint="eastAsia" w:ascii="Times New Roman" w:hAnsi="Times New Roman" w:cs="Times New Roman"/>
          <w:highlight w:val="none"/>
          <w:lang w:eastAsia="zh-CN"/>
        </w:rPr>
        <w:t>”</w:t>
      </w:r>
    </w:p>
    <w:p>
      <w:pPr>
        <w:spacing w:line="360" w:lineRule="auto"/>
        <w:ind w:firstLine="315" w:firstLineChars="150"/>
        <w:rPr>
          <w:rFonts w:hint="eastAsia" w:ascii="楷体_GB2312" w:eastAsia="楷体_GB2312"/>
          <w:highlight w:val="none"/>
          <w:lang w:eastAsia="zh-CN"/>
        </w:rPr>
      </w:pPr>
    </w:p>
    <w:p>
      <w:pPr>
        <w:spacing w:line="360" w:lineRule="auto"/>
        <w:ind w:firstLine="315" w:firstLineChars="150"/>
        <w:rPr>
          <w:rFonts w:hint="default" w:ascii="Times New Roman" w:hAnsi="Times New Roman" w:cs="Times New Roman"/>
          <w:highlight w:val="none"/>
        </w:rPr>
      </w:pPr>
      <w:r>
        <w:rPr>
          <w:rFonts w:hint="eastAsia" w:ascii="楷体_GB2312" w:eastAsia="楷体_GB2312"/>
          <w:highlight w:val="none"/>
          <w:lang w:eastAsia="zh-CN"/>
        </w:rPr>
        <w:t>原</w:t>
      </w:r>
      <w:r>
        <w:rPr>
          <w:rFonts w:hint="eastAsia" w:ascii="楷体_GB2312" w:eastAsia="楷体_GB2312"/>
          <w:highlight w:val="none"/>
        </w:rPr>
        <w:t>2.2</w:t>
      </w:r>
      <w:r>
        <w:rPr>
          <w:rFonts w:hint="eastAsia" w:ascii="楷体_GB2312" w:eastAsia="楷体_GB2312"/>
          <w:highlight w:val="none"/>
          <w:lang w:eastAsia="zh-CN"/>
        </w:rPr>
        <w:t>（</w:t>
      </w:r>
      <w:r>
        <w:rPr>
          <w:rFonts w:hint="eastAsia" w:ascii="楷体_GB2312" w:eastAsia="楷体_GB2312"/>
          <w:highlight w:val="none"/>
          <w:lang w:val="en-US" w:eastAsia="zh-CN"/>
        </w:rPr>
        <w:t>4</w:t>
      </w:r>
      <w:r>
        <w:rPr>
          <w:rFonts w:hint="eastAsia" w:ascii="楷体_GB2312" w:eastAsia="楷体_GB2312"/>
          <w:highlight w:val="none"/>
          <w:lang w:eastAsia="zh-CN"/>
        </w:rPr>
        <w:t>）改为</w:t>
      </w:r>
      <w:r>
        <w:rPr>
          <w:rFonts w:hint="eastAsia" w:ascii="楷体_GB2312" w:eastAsia="楷体_GB231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rPr>
          <w:rFonts w:hint="eastAsia" w:ascii="Times New Roman" w:hAnsi="Times New Roman" w:cs="Times New Roman"/>
          <w:highlight w:val="none"/>
          <w:lang w:eastAsia="zh-CN"/>
        </w:rPr>
      </w:pPr>
      <w:r>
        <w:rPr>
          <w:rFonts w:hint="eastAsia" w:ascii="Times New Roman" w:hAnsi="Times New Roman" w:cs="Times New Roman"/>
          <w:highlight w:val="none"/>
          <w:lang w:eastAsia="zh-CN"/>
        </w:rPr>
        <w:t>“</w:t>
      </w:r>
      <w:r>
        <w:rPr>
          <w:rFonts w:hint="default" w:ascii="Times New Roman" w:hAnsi="Times New Roman" w:cs="Times New Roman"/>
          <w:highlight w:val="none"/>
        </w:rPr>
        <w:t>（4）第2-2章附录2是海上安全委员会以MSC.307(88)决议（生效日期为2012年7月1日）</w:t>
      </w:r>
      <w:r>
        <w:rPr>
          <w:rFonts w:hint="default" w:ascii="Times New Roman" w:hAnsi="Times New Roman" w:cs="Times New Roman"/>
          <w:color w:val="FF0000"/>
          <w:highlight w:val="none"/>
          <w:u w:val="single"/>
        </w:rPr>
        <w:t>和MSC.437（99）决议（生效日期为2020年1月1日）</w:t>
      </w:r>
      <w:r>
        <w:rPr>
          <w:rFonts w:hint="default" w:ascii="Times New Roman" w:hAnsi="Times New Roman" w:cs="Times New Roman"/>
          <w:highlight w:val="none"/>
        </w:rPr>
        <w:t>通过的《国际耐火试验程序应用规则》（FTP规则）。</w:t>
      </w:r>
      <w:r>
        <w:rPr>
          <w:rFonts w:hint="eastAsia" w:ascii="Times New Roman" w:hAnsi="Times New Roman" w:cs="Times New Roman"/>
          <w:highlight w:val="none"/>
          <w:lang w:eastAsia="zh-CN"/>
        </w:rPr>
        <w:t>”</w:t>
      </w:r>
    </w:p>
    <w:p>
      <w:pPr>
        <w:spacing w:line="360" w:lineRule="auto"/>
        <w:ind w:firstLine="315" w:firstLineChars="150"/>
        <w:rPr>
          <w:rFonts w:hint="eastAsia" w:ascii="Times New Roman" w:hAnsi="Times New Roman" w:cs="Times New Roman"/>
          <w:highlight w:val="none"/>
          <w:lang w:eastAsia="zh-CN"/>
        </w:rPr>
      </w:pPr>
    </w:p>
    <w:p>
      <w:pPr>
        <w:spacing w:line="360" w:lineRule="auto"/>
        <w:ind w:firstLine="315" w:firstLineChars="150"/>
        <w:rPr>
          <w:rFonts w:hint="eastAsia" w:ascii="Times New Roman" w:hAnsi="Times New Roman" w:cs="Times New Roman"/>
          <w:highlight w:val="none"/>
          <w:lang w:eastAsia="zh-CN"/>
        </w:rPr>
      </w:pPr>
      <w:r>
        <w:rPr>
          <w:rFonts w:hint="eastAsia" w:ascii="楷体_GB2312" w:eastAsia="楷体_GB2312"/>
          <w:highlight w:val="none"/>
          <w:lang w:eastAsia="zh-CN"/>
        </w:rPr>
        <w:t>原</w:t>
      </w:r>
      <w:r>
        <w:rPr>
          <w:rFonts w:hint="eastAsia" w:ascii="楷体_GB2312" w:eastAsia="楷体_GB2312"/>
          <w:highlight w:val="none"/>
        </w:rPr>
        <w:t>2.2</w:t>
      </w:r>
      <w:r>
        <w:rPr>
          <w:rFonts w:hint="eastAsia" w:ascii="楷体_GB2312" w:eastAsia="楷体_GB2312"/>
          <w:highlight w:val="none"/>
          <w:lang w:eastAsia="zh-CN"/>
        </w:rPr>
        <w:t>（</w:t>
      </w:r>
      <w:r>
        <w:rPr>
          <w:rFonts w:hint="eastAsia" w:ascii="楷体_GB2312" w:eastAsia="楷体_GB2312"/>
          <w:highlight w:val="none"/>
          <w:lang w:val="en-US" w:eastAsia="zh-CN"/>
        </w:rPr>
        <w:t>6</w:t>
      </w:r>
      <w:r>
        <w:rPr>
          <w:rFonts w:hint="eastAsia" w:ascii="楷体_GB2312" w:eastAsia="楷体_GB2312"/>
          <w:highlight w:val="none"/>
          <w:lang w:eastAsia="zh-CN"/>
        </w:rPr>
        <w:t>）改为</w:t>
      </w:r>
      <w:r>
        <w:rPr>
          <w:rFonts w:hint="eastAsia" w:ascii="楷体_GB2312" w:eastAsia="楷体_GB2312"/>
          <w:highlight w:val="none"/>
        </w:rPr>
        <w:t>：</w:t>
      </w:r>
    </w:p>
    <w:p>
      <w:pPr>
        <w:keepNext w:val="0"/>
        <w:keepLines w:val="0"/>
        <w:widowControl/>
        <w:suppressLineNumbers w:val="0"/>
        <w:jc w:val="left"/>
        <w:rPr>
          <w:rFonts w:hint="eastAsia" w:ascii="Times New Roman" w:hAnsi="Times New Roman" w:cs="Times New Roman"/>
          <w:highlight w:val="none"/>
          <w:lang w:eastAsia="zh-CN"/>
        </w:rPr>
      </w:pPr>
      <w:r>
        <w:rPr>
          <w:rFonts w:hint="eastAsia" w:ascii="Times New Roman" w:hAnsi="Times New Roman" w:cs="Times New Roman"/>
          <w:highlight w:val="none"/>
          <w:lang w:eastAsia="zh-CN"/>
        </w:rPr>
        <w:t>“（6）第3章附录2是1996年6月4日海上安全委员会以MSC.48（66）决议通过的《国际救生设备规则》（LSA规则），按照1974年SOLAS 1996年修正案的规定，《国际救生设备规则》在1998年7月1日及以后成为强制性规定，同时纳入了其MSC.207(81)（2010年7月1日生效）、MSC.218(82)（2008年7月1日生效）、MSC.272(85)（2010年7月1日生效）、MSC.293(87)（2012年1月1日生效）、MSC.320(89)（2013年1月1日生效）、MSC.368(93)（2016年1月1日生效）、MSC.425(98)（2020年1月1日生效）</w:t>
      </w:r>
      <w:r>
        <w:rPr>
          <w:rFonts w:hint="eastAsia" w:ascii="Times New Roman" w:hAnsi="Times New Roman" w:cs="Times New Roman"/>
          <w:color w:val="FF0000"/>
          <w:highlight w:val="none"/>
          <w:u w:val="single"/>
          <w:lang w:eastAsia="zh-CN"/>
        </w:rPr>
        <w:t>、MSC.459(101)（2024年1月1日生效</w:t>
      </w:r>
      <w:r>
        <w:rPr>
          <w:rFonts w:hint="eastAsia" w:ascii="Times New Roman" w:hAnsi="Times New Roman" w:cs="Times New Roman"/>
          <w:color w:val="FF0000"/>
          <w:highlight w:val="none"/>
          <w:u w:val="single"/>
          <w:lang w:val="en-US" w:eastAsia="zh-CN"/>
        </w:rPr>
        <w:t>，其中对LSA规则</w:t>
      </w:r>
      <w:r>
        <w:rPr>
          <w:rFonts w:hint="default" w:ascii="Times New Roman" w:hAnsi="Times New Roman" w:cs="Times New Roman"/>
          <w:color w:val="FF0000"/>
          <w:highlight w:val="none"/>
          <w:u w:val="single"/>
          <w:lang w:val="en-US" w:eastAsia="zh-CN"/>
        </w:rPr>
        <w:t>6.1.1.3</w:t>
      </w:r>
      <w:r>
        <w:rPr>
          <w:rFonts w:hint="eastAsia" w:ascii="Times New Roman" w:hAnsi="Times New Roman" w:cs="Times New Roman"/>
          <w:color w:val="FF0000"/>
          <w:highlight w:val="none"/>
          <w:u w:val="single"/>
          <w:lang w:val="en-US" w:eastAsia="zh-CN"/>
        </w:rPr>
        <w:t>的修正应适用于</w:t>
      </w:r>
      <w:r>
        <w:rPr>
          <w:rFonts w:hint="default" w:ascii="Times New Roman" w:hAnsi="Times New Roman" w:cs="Times New Roman"/>
          <w:color w:val="FF0000"/>
          <w:highlight w:val="none"/>
          <w:u w:val="single"/>
          <w:lang w:val="en-US" w:eastAsia="zh-CN"/>
        </w:rPr>
        <w:t>2024</w:t>
      </w:r>
      <w:r>
        <w:rPr>
          <w:rFonts w:hint="eastAsia" w:ascii="Times New Roman" w:hAnsi="Times New Roman" w:cs="Times New Roman"/>
          <w:color w:val="FF0000"/>
          <w:highlight w:val="none"/>
          <w:u w:val="single"/>
          <w:lang w:val="en-US" w:eastAsia="zh-CN"/>
        </w:rPr>
        <w:t>年</w:t>
      </w:r>
      <w:r>
        <w:rPr>
          <w:rFonts w:hint="default" w:ascii="Times New Roman" w:hAnsi="Times New Roman" w:cs="Times New Roman"/>
          <w:color w:val="FF0000"/>
          <w:highlight w:val="none"/>
          <w:u w:val="single"/>
          <w:lang w:val="en-US" w:eastAsia="zh-CN"/>
        </w:rPr>
        <w:t>1</w:t>
      </w:r>
      <w:r>
        <w:rPr>
          <w:rFonts w:hint="eastAsia" w:ascii="Times New Roman" w:hAnsi="Times New Roman" w:cs="Times New Roman"/>
          <w:color w:val="FF0000"/>
          <w:highlight w:val="none"/>
          <w:u w:val="single"/>
          <w:lang w:val="en-US" w:eastAsia="zh-CN"/>
        </w:rPr>
        <w:t>月</w:t>
      </w:r>
      <w:r>
        <w:rPr>
          <w:rFonts w:hint="default" w:ascii="Times New Roman" w:hAnsi="Times New Roman" w:cs="Times New Roman"/>
          <w:color w:val="FF0000"/>
          <w:highlight w:val="none"/>
          <w:u w:val="single"/>
          <w:lang w:val="en-US" w:eastAsia="zh-CN"/>
        </w:rPr>
        <w:t>1</w:t>
      </w:r>
      <w:r>
        <w:rPr>
          <w:rFonts w:hint="eastAsia" w:ascii="Times New Roman" w:hAnsi="Times New Roman" w:cs="Times New Roman"/>
          <w:color w:val="FF0000"/>
          <w:highlight w:val="none"/>
          <w:u w:val="single"/>
          <w:lang w:val="en-US" w:eastAsia="zh-CN"/>
        </w:rPr>
        <w:t>日或以后安装上船的救助艇</w:t>
      </w:r>
      <w:r>
        <w:rPr>
          <w:rFonts w:hint="eastAsia" w:ascii="Times New Roman" w:hAnsi="Times New Roman" w:cs="Times New Roman"/>
          <w:color w:val="FF0000"/>
          <w:highlight w:val="none"/>
          <w:u w:val="single"/>
          <w:lang w:eastAsia="zh-CN"/>
        </w:rPr>
        <w:t>）</w:t>
      </w:r>
      <w:r>
        <w:rPr>
          <w:rFonts w:hint="eastAsia" w:ascii="Times New Roman" w:hAnsi="Times New Roman" w:cs="Times New Roman"/>
          <w:color w:val="FF0000"/>
          <w:highlight w:val="none"/>
          <w:u w:val="single"/>
          <w:lang w:val="en-US" w:eastAsia="zh-CN"/>
        </w:rPr>
        <w:t>和</w:t>
      </w:r>
      <w:r>
        <w:rPr>
          <w:rFonts w:hint="eastAsia" w:ascii="Times New Roman" w:hAnsi="Times New Roman" w:cs="Times New Roman"/>
          <w:color w:val="FF0000"/>
          <w:highlight w:val="none"/>
          <w:u w:val="single"/>
          <w:lang w:eastAsia="zh-CN"/>
        </w:rPr>
        <w:t>MSC.485(103)（2024年1月1日生效）</w:t>
      </w:r>
      <w:r>
        <w:rPr>
          <w:rFonts w:hint="eastAsia" w:ascii="Times New Roman" w:hAnsi="Times New Roman" w:cs="Times New Roman"/>
          <w:highlight w:val="none"/>
          <w:lang w:eastAsia="zh-CN"/>
        </w:rPr>
        <w:t>修正案。”</w:t>
      </w:r>
    </w:p>
    <w:p>
      <w:pPr>
        <w:widowControl/>
        <w:jc w:val="left"/>
        <w:rPr>
          <w:b/>
          <w:sz w:val="32"/>
          <w:szCs w:val="32"/>
          <w:highlight w:val="none"/>
        </w:rPr>
      </w:pPr>
      <w:r>
        <w:rPr>
          <w:b/>
          <w:sz w:val="32"/>
          <w:szCs w:val="32"/>
          <w:highlight w:val="none"/>
        </w:rPr>
        <w:br w:type="page"/>
      </w:r>
    </w:p>
    <w:bookmarkEnd w:id="3"/>
    <w:p>
      <w:pPr>
        <w:pStyle w:val="2"/>
        <w:keepNext w:val="0"/>
        <w:keepLines w:val="0"/>
        <w:pageBreakBefore w:val="0"/>
        <w:widowControl/>
        <w:kinsoku/>
        <w:wordWrap/>
        <w:overflowPunct/>
        <w:topLinePunct w:val="0"/>
        <w:autoSpaceDE/>
        <w:autoSpaceDN/>
        <w:bidi w:val="0"/>
        <w:adjustRightInd/>
        <w:snapToGrid/>
        <w:spacing w:before="0" w:after="0" w:line="240" w:lineRule="auto"/>
        <w:ind w:left="0"/>
        <w:jc w:val="center"/>
        <w:textAlignment w:val="auto"/>
        <w:rPr>
          <w:rFonts w:hint="eastAsia" w:cstheme="minorBidi"/>
          <w:bCs w:val="0"/>
          <w:caps w:val="0"/>
          <w:kern w:val="2"/>
          <w:sz w:val="32"/>
          <w:highlight w:val="none"/>
          <w:vertAlign w:val="superscript"/>
          <w:lang w:val="en-US"/>
        </w:rPr>
      </w:pPr>
      <w:bookmarkStart w:id="5" w:name="_Toc19781"/>
      <w:r>
        <w:rPr>
          <w:rFonts w:hint="eastAsia" w:cstheme="minorBidi"/>
          <w:bCs w:val="0"/>
          <w:caps w:val="0"/>
          <w:kern w:val="2"/>
          <w:sz w:val="32"/>
          <w:highlight w:val="none"/>
          <w:lang w:val="en-US"/>
        </w:rPr>
        <w:t>第</w:t>
      </w:r>
      <w:r>
        <w:rPr>
          <w:rFonts w:cstheme="minorBidi"/>
          <w:bCs w:val="0"/>
          <w:caps w:val="0"/>
          <w:kern w:val="2"/>
          <w:sz w:val="32"/>
          <w:highlight w:val="none"/>
          <w:lang w:val="en-US"/>
        </w:rPr>
        <w:t>2-1</w:t>
      </w:r>
      <w:r>
        <w:rPr>
          <w:rFonts w:hint="eastAsia" w:cstheme="minorBidi"/>
          <w:bCs w:val="0"/>
          <w:caps w:val="0"/>
          <w:kern w:val="2"/>
          <w:sz w:val="32"/>
          <w:highlight w:val="none"/>
          <w:lang w:val="en-US"/>
        </w:rPr>
        <w:t>章</w:t>
      </w:r>
      <w:r>
        <w:rPr>
          <w:rFonts w:cstheme="minorBidi"/>
          <w:bCs w:val="0"/>
          <w:caps w:val="0"/>
          <w:kern w:val="2"/>
          <w:sz w:val="32"/>
          <w:highlight w:val="none"/>
          <w:lang w:val="en-US"/>
        </w:rPr>
        <w:t xml:space="preserve">  </w:t>
      </w:r>
      <w:r>
        <w:rPr>
          <w:rFonts w:hint="eastAsia" w:cstheme="minorBidi"/>
          <w:bCs w:val="0"/>
          <w:caps w:val="0"/>
          <w:kern w:val="2"/>
          <w:sz w:val="32"/>
          <w:highlight w:val="none"/>
          <w:lang w:val="en-US"/>
        </w:rPr>
        <w:t>构造</w:t>
      </w:r>
      <w:r>
        <w:rPr>
          <w:rFonts w:cstheme="minorBidi"/>
          <w:bCs w:val="0"/>
          <w:caps w:val="0"/>
          <w:kern w:val="2"/>
          <w:sz w:val="32"/>
          <w:highlight w:val="none"/>
          <w:lang w:val="en-US"/>
        </w:rPr>
        <w:t>―</w:t>
      </w:r>
      <w:r>
        <w:rPr>
          <w:rFonts w:hint="eastAsia" w:cstheme="minorBidi"/>
          <w:bCs w:val="0"/>
          <w:caps w:val="0"/>
          <w:kern w:val="2"/>
          <w:sz w:val="32"/>
          <w:highlight w:val="none"/>
          <w:lang w:val="en-US"/>
        </w:rPr>
        <w:t>结构、分舱与稳性、机电设备</w:t>
      </w:r>
      <w:r>
        <w:rPr>
          <w:rFonts w:hint="eastAsia" w:cstheme="minorBidi"/>
          <w:bCs w:val="0"/>
          <w:caps w:val="0"/>
          <w:kern w:val="2"/>
          <w:sz w:val="32"/>
          <w:highlight w:val="none"/>
          <w:vertAlign w:val="superscript"/>
          <w:lang w:val="en-US"/>
        </w:rPr>
        <w:fldChar w:fldCharType="begin"/>
      </w:r>
      <w:r>
        <w:rPr>
          <w:rFonts w:hint="eastAsia" w:cstheme="minorBidi"/>
          <w:bCs w:val="0"/>
          <w:caps w:val="0"/>
          <w:kern w:val="2"/>
          <w:sz w:val="32"/>
          <w:highlight w:val="none"/>
          <w:vertAlign w:val="superscript"/>
          <w:lang w:val="en-US"/>
        </w:rPr>
        <w:instrText xml:space="preserve"> = 1 \* GB3 \* MERGEFORMAT </w:instrText>
      </w:r>
      <w:r>
        <w:rPr>
          <w:rFonts w:hint="eastAsia" w:cstheme="minorBidi"/>
          <w:bCs w:val="0"/>
          <w:caps w:val="0"/>
          <w:kern w:val="2"/>
          <w:sz w:val="32"/>
          <w:highlight w:val="none"/>
          <w:vertAlign w:val="superscript"/>
          <w:lang w:val="en-US"/>
        </w:rPr>
        <w:fldChar w:fldCharType="separate"/>
      </w:r>
      <w:r>
        <w:rPr>
          <w:vertAlign w:val="superscript"/>
        </w:rPr>
        <w:t>①</w:t>
      </w:r>
      <w:r>
        <w:rPr>
          <w:rFonts w:hint="eastAsia" w:cstheme="minorBidi"/>
          <w:bCs w:val="0"/>
          <w:caps w:val="0"/>
          <w:kern w:val="2"/>
          <w:sz w:val="32"/>
          <w:highlight w:val="none"/>
          <w:vertAlign w:val="superscript"/>
          <w:lang w:val="en-US"/>
        </w:rPr>
        <w:fldChar w:fldCharType="end"/>
      </w:r>
      <w:bookmarkEnd w:id="5"/>
    </w:p>
    <w:p>
      <w:pPr>
        <w:pStyle w:val="2"/>
        <w:keepNext w:val="0"/>
        <w:keepLines w:val="0"/>
        <w:pageBreakBefore w:val="0"/>
        <w:widowControl/>
        <w:kinsoku/>
        <w:wordWrap/>
        <w:overflowPunct/>
        <w:topLinePunct w:val="0"/>
        <w:autoSpaceDE/>
        <w:autoSpaceDN/>
        <w:bidi w:val="0"/>
        <w:adjustRightInd/>
        <w:snapToGrid/>
        <w:spacing w:before="0" w:after="0" w:line="240" w:lineRule="auto"/>
        <w:ind w:left="0"/>
        <w:jc w:val="center"/>
        <w:textAlignment w:val="auto"/>
        <w:rPr>
          <w:b/>
          <w:sz w:val="32"/>
          <w:szCs w:val="18"/>
          <w:highlight w:val="none"/>
        </w:rPr>
      </w:pPr>
      <w:bookmarkStart w:id="6" w:name="_Toc21356"/>
      <w:r>
        <w:rPr>
          <w:rFonts w:hint="eastAsia" w:ascii="楷体_GB2312" w:eastAsia="楷体_GB2312"/>
          <w:b/>
          <w:sz w:val="28"/>
          <w:szCs w:val="28"/>
          <w:highlight w:val="none"/>
        </w:rPr>
        <w:t>（SOLAS公约第</w:t>
      </w:r>
      <w:r>
        <w:rPr>
          <w:rFonts w:hint="eastAsia" w:ascii="楷体" w:hAnsi="楷体" w:eastAsia="楷体"/>
          <w:b/>
          <w:sz w:val="28"/>
          <w:szCs w:val="28"/>
          <w:highlight w:val="none"/>
        </w:rPr>
        <w:t>II-1</w:t>
      </w:r>
      <w:r>
        <w:rPr>
          <w:rFonts w:hint="eastAsia" w:ascii="楷体_GB2312" w:eastAsia="楷体_GB2312"/>
          <w:b/>
          <w:sz w:val="28"/>
          <w:szCs w:val="28"/>
          <w:highlight w:val="none"/>
        </w:rPr>
        <w:t>章）</w:t>
      </w:r>
      <w:bookmarkEnd w:id="6"/>
    </w:p>
    <w:p>
      <w:pPr>
        <w:autoSpaceDE w:val="0"/>
        <w:autoSpaceDN w:val="0"/>
        <w:adjustRightInd w:val="0"/>
        <w:jc w:val="center"/>
        <w:rPr>
          <w:rFonts w:ascii="Times New Roman" w:hAnsi="Times New Roman"/>
          <w:b/>
          <w:kern w:val="0"/>
          <w:highlight w:val="none"/>
        </w:rPr>
      </w:pPr>
    </w:p>
    <w:p>
      <w:pPr>
        <w:autoSpaceDE w:val="0"/>
        <w:autoSpaceDN w:val="0"/>
        <w:adjustRightInd w:val="0"/>
        <w:ind w:firstLine="630" w:firstLineChars="300"/>
        <w:rPr>
          <w:rFonts w:hint="eastAsia" w:ascii="楷体_GB2312" w:eastAsia="楷体_GB2312"/>
          <w:highlight w:val="none"/>
          <w:lang w:eastAsia="zh-CN"/>
        </w:rPr>
      </w:pPr>
      <w:r>
        <w:rPr>
          <w:rFonts w:hint="eastAsia" w:ascii="楷体_GB2312" w:eastAsia="楷体_GB2312"/>
          <w:highlight w:val="none"/>
          <w:lang w:eastAsia="zh-CN"/>
        </w:rPr>
        <w:t>本章标题的脚注</w:t>
      </w:r>
      <w:r>
        <w:rPr>
          <w:rFonts w:hint="eastAsia" w:ascii="楷体_GB2312" w:eastAsia="楷体_GB2312"/>
          <w:highlight w:val="none"/>
          <w:lang w:eastAsia="zh-CN"/>
        </w:rPr>
        <w:fldChar w:fldCharType="begin"/>
      </w:r>
      <w:r>
        <w:rPr>
          <w:rFonts w:hint="eastAsia" w:ascii="楷体_GB2312" w:eastAsia="楷体_GB2312"/>
          <w:highlight w:val="none"/>
          <w:lang w:eastAsia="zh-CN"/>
        </w:rPr>
        <w:instrText xml:space="preserve"> = 1 \* GB3 \* MERGEFORMAT </w:instrText>
      </w:r>
      <w:r>
        <w:rPr>
          <w:rFonts w:hint="eastAsia" w:ascii="楷体_GB2312" w:eastAsia="楷体_GB2312"/>
          <w:highlight w:val="none"/>
          <w:lang w:eastAsia="zh-CN"/>
        </w:rPr>
        <w:fldChar w:fldCharType="separate"/>
      </w:r>
      <w:r>
        <w:t>①</w:t>
      </w:r>
      <w:r>
        <w:rPr>
          <w:rFonts w:hint="eastAsia" w:ascii="楷体_GB2312" w:eastAsia="楷体_GB2312"/>
          <w:highlight w:val="none"/>
          <w:lang w:eastAsia="zh-CN"/>
        </w:rPr>
        <w:fldChar w:fldCharType="end"/>
      </w:r>
      <w:r>
        <w:rPr>
          <w:rFonts w:hint="eastAsia" w:ascii="楷体_GB2312" w:eastAsia="楷体_GB2312"/>
          <w:highlight w:val="none"/>
          <w:lang w:eastAsia="zh-CN"/>
        </w:rPr>
        <w:t>改为：</w:t>
      </w:r>
    </w:p>
    <w:p>
      <w:pPr>
        <w:autoSpaceDE w:val="0"/>
        <w:autoSpaceDN w:val="0"/>
        <w:adjustRightInd w:val="0"/>
        <w:ind w:firstLine="420" w:firstLineChars="200"/>
        <w:rPr>
          <w:rFonts w:hint="eastAsia" w:ascii="Times New Roman" w:hAnsi="Times New Roman" w:eastAsiaTheme="minorEastAsia"/>
          <w:kern w:val="0"/>
          <w:highlight w:val="none"/>
          <w:lang w:eastAsia="zh-CN"/>
        </w:rPr>
      </w:pPr>
      <w:r>
        <w:rPr>
          <w:rFonts w:hint="eastAsia" w:ascii="Times New Roman" w:hAnsi="Times New Roman"/>
          <w:highlight w:val="none"/>
          <w:lang w:eastAsia="zh-CN"/>
        </w:rPr>
        <w:t>“</w:t>
      </w:r>
      <w:r>
        <w:rPr>
          <w:rFonts w:hint="eastAsia" w:ascii="Times New Roman" w:hAnsi="Times New Roman"/>
          <w:highlight w:val="none"/>
          <w:lang w:eastAsia="zh-CN"/>
        </w:rPr>
        <w:fldChar w:fldCharType="begin"/>
      </w:r>
      <w:r>
        <w:rPr>
          <w:rFonts w:hint="eastAsia" w:ascii="Times New Roman" w:hAnsi="Times New Roman"/>
          <w:highlight w:val="none"/>
          <w:lang w:eastAsia="zh-CN"/>
        </w:rPr>
        <w:instrText xml:space="preserve"> = 1 \* GB3 \* MERGEFORMAT </w:instrText>
      </w:r>
      <w:r>
        <w:rPr>
          <w:rFonts w:hint="eastAsia" w:ascii="Times New Roman" w:hAnsi="Times New Roman"/>
          <w:highlight w:val="none"/>
          <w:lang w:eastAsia="zh-CN"/>
        </w:rPr>
        <w:fldChar w:fldCharType="separate"/>
      </w:r>
      <w:r>
        <w:t>①</w:t>
      </w:r>
      <w:r>
        <w:rPr>
          <w:rFonts w:hint="eastAsia" w:ascii="Times New Roman" w:hAnsi="Times New Roman"/>
          <w:highlight w:val="none"/>
          <w:lang w:eastAsia="zh-CN"/>
        </w:rPr>
        <w:fldChar w:fldCharType="end"/>
      </w:r>
      <w:r>
        <w:rPr>
          <w:rFonts w:hint="eastAsia" w:ascii="Times New Roman" w:hAnsi="Times New Roman"/>
          <w:highlight w:val="none"/>
          <w:lang w:val="en-US" w:eastAsia="zh-CN"/>
        </w:rPr>
        <w:t xml:space="preserve"> </w:t>
      </w:r>
      <w:r>
        <w:rPr>
          <w:rFonts w:ascii="Times New Roman" w:hAnsi="Times New Roman"/>
          <w:highlight w:val="none"/>
        </w:rPr>
        <w:t>为了统一执行本章A、B、B-1、B-2和B-4部分的技术要求，这些要求应结合国际海事组织通过的MSC.429(98)决议《经修订的SOLAS第II-1章分舱与破损稳性规则的解释性说明》一起执行</w:t>
      </w:r>
      <w:r>
        <w:rPr>
          <w:rFonts w:hint="eastAsia" w:ascii="Times New Roman" w:hAnsi="Times New Roman"/>
          <w:highlight w:val="none"/>
          <w:lang w:eastAsia="zh-CN"/>
        </w:rPr>
        <w:t>。</w:t>
      </w:r>
      <w:r>
        <w:rPr>
          <w:rFonts w:hint="eastAsia" w:ascii="Times New Roman" w:hAnsi="Times New Roman"/>
          <w:color w:val="FF0000"/>
          <w:kern w:val="0"/>
          <w:highlight w:val="none"/>
          <w:u w:val="single"/>
        </w:rPr>
        <w:t>2020年11月11日及以后建造的船舶应结合MSC.429(98) /Rev.1决议一起执行。2024年1月1日及以后建造的船舶应结合MSC.429(98) /Rev.2决议一起执行。</w:t>
      </w:r>
      <w:r>
        <w:rPr>
          <w:rFonts w:hint="eastAsia" w:ascii="Times New Roman" w:hAnsi="Times New Roman"/>
          <w:color w:val="FF0000"/>
          <w:kern w:val="0"/>
          <w:highlight w:val="none"/>
          <w:u w:val="single"/>
          <w:lang w:eastAsia="zh-CN"/>
        </w:rPr>
        <w:t>”</w:t>
      </w:r>
    </w:p>
    <w:p>
      <w:pPr>
        <w:autoSpaceDE w:val="0"/>
        <w:autoSpaceDN w:val="0"/>
        <w:adjustRightInd w:val="0"/>
        <w:jc w:val="left"/>
        <w:rPr>
          <w:rFonts w:ascii="Times New Roman" w:hAnsi="Times New Roman"/>
          <w:b/>
          <w:bCs/>
          <w:kern w:val="0"/>
          <w:highlight w:val="none"/>
        </w:rPr>
      </w:pPr>
    </w:p>
    <w:p>
      <w:pPr>
        <w:pStyle w:val="3"/>
        <w:ind w:left="0"/>
        <w:jc w:val="center"/>
        <w:rPr>
          <w:rFonts w:hint="default" w:ascii="Times New Roman" w:hAnsi="Times New Roman" w:cs="Times New Roman"/>
          <w:kern w:val="0"/>
          <w:highlight w:val="none"/>
        </w:rPr>
      </w:pPr>
      <w:bookmarkStart w:id="7" w:name="_Toc13860"/>
      <w:bookmarkStart w:id="8" w:name="_Toc521938862"/>
      <w:r>
        <w:rPr>
          <w:rFonts w:hint="default" w:ascii="Times New Roman" w:hAnsi="Times New Roman" w:cs="Times New Roman"/>
          <w:bCs w:val="0"/>
          <w:caps w:val="0"/>
          <w:kern w:val="0"/>
          <w:sz w:val="21"/>
          <w:szCs w:val="21"/>
          <w:highlight w:val="none"/>
          <w:lang w:val="en-US"/>
        </w:rPr>
        <w:t>A部分　通 则</w:t>
      </w:r>
      <w:bookmarkEnd w:id="7"/>
      <w:bookmarkEnd w:id="8"/>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ascii="Times New Roman" w:hAnsi="Times New Roman"/>
          <w:kern w:val="0"/>
          <w:highlight w:val="none"/>
        </w:rPr>
      </w:pPr>
      <w:bookmarkStart w:id="9" w:name="_Toc521938863"/>
      <w:bookmarkStart w:id="10" w:name="_Toc19552"/>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w:t>
      </w:r>
      <w:r>
        <w:rPr>
          <w:rFonts w:hint="eastAsia" w:ascii="Times New Roman" w:hAnsi="Times New Roman" w:cstheme="minorBidi"/>
          <w:bCs w:val="0"/>
          <w:caps w:val="0"/>
          <w:kern w:val="0"/>
          <w:sz w:val="21"/>
          <w:szCs w:val="21"/>
          <w:highlight w:val="none"/>
          <w:lang w:val="en-US"/>
        </w:rPr>
        <w:t>条　适</w:t>
      </w:r>
      <w:r>
        <w:rPr>
          <w:rFonts w:ascii="Times New Roman" w:hAnsi="Times New Roman" w:cstheme="minorBidi"/>
          <w:bCs w:val="0"/>
          <w:caps w:val="0"/>
          <w:kern w:val="0"/>
          <w:sz w:val="21"/>
          <w:szCs w:val="21"/>
          <w:highlight w:val="none"/>
          <w:lang w:val="en-US"/>
        </w:rPr>
        <w:t xml:space="preserve"> </w:t>
      </w:r>
      <w:r>
        <w:rPr>
          <w:rFonts w:hint="eastAsia" w:ascii="Times New Roman" w:hAnsi="Times New Roman" w:cstheme="minorBidi"/>
          <w:bCs w:val="0"/>
          <w:caps w:val="0"/>
          <w:kern w:val="0"/>
          <w:sz w:val="21"/>
          <w:szCs w:val="21"/>
          <w:highlight w:val="none"/>
          <w:lang w:val="en-US"/>
        </w:rPr>
        <w:t>用</w:t>
      </w:r>
      <w:r>
        <w:rPr>
          <w:rFonts w:ascii="Times New Roman" w:hAnsi="Times New Roman" w:cstheme="minorBidi"/>
          <w:bCs w:val="0"/>
          <w:caps w:val="0"/>
          <w:kern w:val="0"/>
          <w:sz w:val="21"/>
          <w:szCs w:val="21"/>
          <w:highlight w:val="none"/>
          <w:lang w:val="en-US"/>
        </w:rPr>
        <w:t xml:space="preserve"> </w:t>
      </w:r>
      <w:r>
        <w:rPr>
          <w:rFonts w:hint="eastAsia" w:ascii="Times New Roman" w:hAnsi="Times New Roman" w:cstheme="minorBidi"/>
          <w:bCs w:val="0"/>
          <w:caps w:val="0"/>
          <w:kern w:val="0"/>
          <w:sz w:val="21"/>
          <w:szCs w:val="21"/>
          <w:highlight w:val="none"/>
          <w:lang w:val="en-US"/>
        </w:rPr>
        <w:t>范</w:t>
      </w:r>
      <w:r>
        <w:rPr>
          <w:rFonts w:ascii="Times New Roman" w:hAnsi="Times New Roman" w:cstheme="minorBidi"/>
          <w:bCs w:val="0"/>
          <w:caps w:val="0"/>
          <w:kern w:val="0"/>
          <w:sz w:val="21"/>
          <w:szCs w:val="21"/>
          <w:highlight w:val="none"/>
          <w:lang w:val="en-US"/>
        </w:rPr>
        <w:t xml:space="preserve"> </w:t>
      </w:r>
      <w:r>
        <w:rPr>
          <w:rFonts w:hint="eastAsia" w:ascii="Times New Roman" w:hAnsi="Times New Roman" w:cstheme="minorBidi"/>
          <w:bCs w:val="0"/>
          <w:caps w:val="0"/>
          <w:kern w:val="0"/>
          <w:sz w:val="21"/>
          <w:szCs w:val="21"/>
          <w:highlight w:val="none"/>
          <w:lang w:val="en-US"/>
        </w:rPr>
        <w:t>围</w:t>
      </w:r>
      <w:bookmarkEnd w:id="9"/>
      <w:bookmarkEnd w:id="10"/>
    </w:p>
    <w:p>
      <w:pPr>
        <w:autoSpaceDE w:val="0"/>
        <w:autoSpaceDN w:val="0"/>
        <w:adjustRightInd w:val="0"/>
        <w:rPr>
          <w:rFonts w:ascii="Times New Roman" w:hAnsi="Times New Roman"/>
          <w:kern w:val="0"/>
          <w:highlight w:val="none"/>
        </w:rPr>
      </w:pPr>
    </w:p>
    <w:p>
      <w:pPr>
        <w:autoSpaceDE w:val="0"/>
        <w:autoSpaceDN w:val="0"/>
        <w:adjustRightInd w:val="0"/>
        <w:ind w:firstLine="630" w:firstLineChars="300"/>
        <w:rPr>
          <w:rFonts w:hint="eastAsia" w:ascii="Times New Roman" w:hAnsi="Times New Roman" w:eastAsia="楷体_GB2312"/>
          <w:kern w:val="0"/>
          <w:sz w:val="21"/>
          <w:szCs w:val="21"/>
          <w:highlight w:val="none"/>
          <w:lang w:eastAsia="zh-CN"/>
        </w:rPr>
      </w:pPr>
      <w:r>
        <w:rPr>
          <w:rFonts w:hint="eastAsia" w:ascii="楷体_GB2312" w:eastAsia="楷体_GB2312"/>
          <w:highlight w:val="none"/>
          <w:lang w:eastAsia="zh-CN"/>
        </w:rPr>
        <w:t>原</w:t>
      </w:r>
      <w:r>
        <w:rPr>
          <w:rFonts w:hint="eastAsia" w:ascii="楷体_GB2312" w:eastAsia="楷体_GB2312"/>
          <w:highlight w:val="none"/>
        </w:rPr>
        <w:t>1.1.2</w:t>
      </w:r>
      <w:r>
        <w:rPr>
          <w:rFonts w:hint="eastAsia" w:ascii="楷体_GB2312" w:eastAsia="楷体_GB2312"/>
          <w:highlight w:val="none"/>
          <w:lang w:val="en-US" w:eastAsia="zh-CN"/>
        </w:rPr>
        <w:t>.2</w:t>
      </w:r>
      <w:r>
        <w:rPr>
          <w:rFonts w:hint="eastAsia" w:ascii="楷体_GB2312" w:eastAsia="楷体_GB2312"/>
          <w:highlight w:val="none"/>
          <w:lang w:eastAsia="zh-CN"/>
        </w:rPr>
        <w:t>改为</w:t>
      </w:r>
      <w:r>
        <w:rPr>
          <w:rFonts w:hint="eastAsia" w:ascii="楷体_GB2312" w:eastAsia="楷体_GB2312"/>
          <w:sz w:val="21"/>
          <w:szCs w:val="21"/>
          <w:highlight w:val="none"/>
        </w:rPr>
        <w:t>：</w:t>
      </w:r>
    </w:p>
    <w:p>
      <w:pPr>
        <w:autoSpaceDE w:val="0"/>
        <w:autoSpaceDN w:val="0"/>
        <w:adjustRightInd w:val="0"/>
        <w:ind w:left="840" w:leftChars="300" w:hanging="210" w:hangingChars="100"/>
        <w:rPr>
          <w:rFonts w:hint="eastAsia" w:ascii="Times New Roman" w:hAnsi="Times New Roman"/>
          <w:kern w:val="0"/>
          <w:highlight w:val="none"/>
        </w:rPr>
      </w:pPr>
      <w:r>
        <w:rPr>
          <w:rFonts w:hint="eastAsia" w:ascii="Times New Roman" w:hAnsi="Times New Roman"/>
          <w:kern w:val="0"/>
          <w:highlight w:val="none"/>
        </w:rPr>
        <w:t xml:space="preserve">“.2 </w:t>
      </w:r>
      <w:r>
        <w:rPr>
          <w:rFonts w:hint="eastAsia" w:ascii="Times New Roman" w:hAnsi="Times New Roman"/>
          <w:kern w:val="0"/>
          <w:highlight w:val="none"/>
          <w:lang w:val="en-US" w:eastAsia="zh-CN"/>
        </w:rPr>
        <w:t xml:space="preserve"> </w:t>
      </w:r>
      <w:r>
        <w:rPr>
          <w:rFonts w:hint="eastAsia" w:ascii="Times New Roman" w:hAnsi="Times New Roman"/>
          <w:kern w:val="0"/>
          <w:highlight w:val="none"/>
        </w:rPr>
        <w:t>确保使之符合</w:t>
      </w:r>
      <w:r>
        <w:rPr>
          <w:rFonts w:hint="eastAsia" w:ascii="Times New Roman" w:hAnsi="Times New Roman"/>
          <w:color w:val="FF0000"/>
          <w:kern w:val="0"/>
          <w:highlight w:val="none"/>
          <w:u w:val="single"/>
        </w:rPr>
        <w:t>第8-1.3和</w:t>
      </w:r>
      <w:r>
        <w:rPr>
          <w:rFonts w:hint="eastAsia" w:ascii="Times New Roman" w:hAnsi="Times New Roman"/>
          <w:kern w:val="0"/>
          <w:highlight w:val="none"/>
        </w:rPr>
        <w:t>19-1条的要求。”</w:t>
      </w:r>
    </w:p>
    <w:p>
      <w:pPr>
        <w:autoSpaceDE w:val="0"/>
        <w:autoSpaceDN w:val="0"/>
        <w:adjustRightInd w:val="0"/>
        <w:ind w:firstLine="630" w:firstLineChars="300"/>
        <w:rPr>
          <w:rFonts w:hint="eastAsia" w:ascii="Times New Roman" w:hAnsi="Times New Roman"/>
          <w:kern w:val="0"/>
          <w:highlight w:val="none"/>
        </w:rPr>
      </w:pPr>
    </w:p>
    <w:p>
      <w:pPr>
        <w:autoSpaceDE w:val="0"/>
        <w:autoSpaceDN w:val="0"/>
        <w:adjustRightInd w:val="0"/>
        <w:ind w:firstLine="630" w:firstLineChars="300"/>
        <w:rPr>
          <w:rFonts w:hint="eastAsia" w:ascii="楷体_GB2312" w:eastAsia="楷体_GB2312"/>
          <w:highlight w:val="none"/>
          <w:lang w:eastAsia="zh-CN"/>
        </w:rPr>
      </w:pPr>
      <w:r>
        <w:rPr>
          <w:rFonts w:hint="eastAsia" w:ascii="楷体_GB2312" w:eastAsia="楷体_GB2312"/>
          <w:highlight w:val="none"/>
          <w:lang w:eastAsia="zh-CN"/>
        </w:rPr>
        <w:t>自2024年1月1日起，</w:t>
      </w:r>
      <w:r>
        <w:rPr>
          <w:rFonts w:hint="eastAsia" w:ascii="楷体_GB2312" w:eastAsia="楷体_GB2312"/>
          <w:highlight w:val="none"/>
          <w:lang w:val="en-US" w:eastAsia="zh-CN"/>
        </w:rPr>
        <w:t>原</w:t>
      </w:r>
      <w:r>
        <w:rPr>
          <w:rFonts w:hint="eastAsia" w:ascii="楷体_GB2312" w:eastAsia="楷体_GB2312"/>
          <w:highlight w:val="none"/>
          <w:lang w:eastAsia="zh-CN"/>
        </w:rPr>
        <w:t>1.3修改为：</w:t>
      </w:r>
    </w:p>
    <w:p>
      <w:pPr>
        <w:autoSpaceDE w:val="0"/>
        <w:autoSpaceDN w:val="0"/>
        <w:adjustRightInd w:val="0"/>
        <w:ind w:firstLine="630" w:firstLineChars="300"/>
        <w:rPr>
          <w:rFonts w:hint="eastAsia" w:ascii="Times New Roman" w:hAnsi="Times New Roman"/>
          <w:color w:val="FF0000"/>
          <w:kern w:val="0"/>
          <w:highlight w:val="none"/>
          <w:u w:val="single"/>
        </w:rPr>
      </w:pPr>
      <w:r>
        <w:rPr>
          <w:rFonts w:hint="eastAsia" w:ascii="Times New Roman" w:hAnsi="Times New Roman"/>
          <w:kern w:val="0"/>
          <w:highlight w:val="none"/>
        </w:rPr>
        <w:t>“</w:t>
      </w:r>
      <w:r>
        <w:rPr>
          <w:rFonts w:hint="eastAsia" w:ascii="Times New Roman" w:hAnsi="Times New Roman"/>
          <w:color w:val="FF0000"/>
          <w:kern w:val="0"/>
          <w:highlight w:val="none"/>
          <w:u w:val="single"/>
        </w:rPr>
        <w:t>1.3  就本章而言：</w:t>
      </w:r>
    </w:p>
    <w:p>
      <w:pPr>
        <w:autoSpaceDE w:val="0"/>
        <w:autoSpaceDN w:val="0"/>
        <w:adjustRightInd w:val="0"/>
        <w:ind w:firstLine="840" w:firstLineChars="400"/>
        <w:rPr>
          <w:rFonts w:hint="eastAsia" w:ascii="Times New Roman" w:hAnsi="Times New Roman"/>
          <w:color w:val="FF0000"/>
          <w:kern w:val="0"/>
          <w:highlight w:val="none"/>
          <w:u w:val="single"/>
        </w:rPr>
      </w:pPr>
      <w:r>
        <w:rPr>
          <w:rFonts w:hint="eastAsia" w:ascii="Times New Roman" w:hAnsi="Times New Roman"/>
          <w:color w:val="FF0000"/>
          <w:kern w:val="0"/>
          <w:highlight w:val="none"/>
          <w:u w:val="single"/>
        </w:rPr>
        <w:t>.1  建造船舶系指安放龙骨或处于类似建造阶段的船舶；</w:t>
      </w:r>
    </w:p>
    <w:p>
      <w:pPr>
        <w:autoSpaceDE w:val="0"/>
        <w:autoSpaceDN w:val="0"/>
        <w:adjustRightInd w:val="0"/>
        <w:ind w:firstLine="840" w:firstLineChars="400"/>
        <w:rPr>
          <w:rFonts w:hint="eastAsia" w:ascii="Times New Roman" w:hAnsi="Times New Roman"/>
          <w:color w:val="FF0000"/>
          <w:kern w:val="0"/>
          <w:highlight w:val="none"/>
          <w:u w:val="single"/>
        </w:rPr>
      </w:pPr>
      <w:r>
        <w:rPr>
          <w:rFonts w:hint="eastAsia" w:ascii="Times New Roman" w:hAnsi="Times New Roman"/>
          <w:color w:val="FF0000"/>
          <w:kern w:val="0"/>
          <w:highlight w:val="none"/>
          <w:u w:val="single"/>
        </w:rPr>
        <w:t>.2  2024年1月1日或以后建造的船舶系指：</w:t>
      </w:r>
    </w:p>
    <w:p>
      <w:pPr>
        <w:autoSpaceDE w:val="0"/>
        <w:autoSpaceDN w:val="0"/>
        <w:adjustRightInd w:val="0"/>
        <w:ind w:firstLine="1050" w:firstLineChars="500"/>
        <w:rPr>
          <w:rFonts w:hint="eastAsia" w:ascii="Times New Roman" w:hAnsi="Times New Roman"/>
          <w:color w:val="FF0000"/>
          <w:kern w:val="0"/>
          <w:highlight w:val="none"/>
          <w:u w:val="single"/>
        </w:rPr>
      </w:pPr>
      <w:r>
        <w:rPr>
          <w:rFonts w:hint="eastAsia" w:ascii="Times New Roman" w:hAnsi="Times New Roman"/>
          <w:color w:val="FF0000"/>
          <w:kern w:val="0"/>
          <w:highlight w:val="none"/>
          <w:u w:val="single"/>
        </w:rPr>
        <w:t>.1  2024年1月1日或以后签订建造合同的船舶；或</w:t>
      </w:r>
    </w:p>
    <w:p>
      <w:pPr>
        <w:autoSpaceDE w:val="0"/>
        <w:autoSpaceDN w:val="0"/>
        <w:adjustRightInd w:val="0"/>
        <w:ind w:firstLine="1050" w:firstLineChars="500"/>
        <w:rPr>
          <w:rFonts w:hint="eastAsia" w:ascii="Times New Roman" w:hAnsi="Times New Roman"/>
          <w:color w:val="FF0000"/>
          <w:kern w:val="0"/>
          <w:highlight w:val="none"/>
          <w:u w:val="single"/>
        </w:rPr>
      </w:pPr>
      <w:r>
        <w:rPr>
          <w:rFonts w:hint="eastAsia" w:ascii="Times New Roman" w:hAnsi="Times New Roman"/>
          <w:color w:val="FF0000"/>
          <w:kern w:val="0"/>
          <w:highlight w:val="none"/>
          <w:u w:val="single"/>
        </w:rPr>
        <w:t>.2  无建造合同，2024年7月1日或以后安放龙骨或处于类似建造阶段的船舶；或</w:t>
      </w:r>
    </w:p>
    <w:p>
      <w:pPr>
        <w:autoSpaceDE w:val="0"/>
        <w:autoSpaceDN w:val="0"/>
        <w:adjustRightInd w:val="0"/>
        <w:ind w:firstLine="1050" w:firstLineChars="500"/>
        <w:rPr>
          <w:rFonts w:hint="eastAsia" w:ascii="Times New Roman" w:hAnsi="Times New Roman"/>
          <w:color w:val="FF0000"/>
          <w:kern w:val="0"/>
          <w:highlight w:val="none"/>
          <w:u w:val="single"/>
        </w:rPr>
      </w:pPr>
      <w:r>
        <w:rPr>
          <w:rFonts w:hint="eastAsia" w:ascii="Times New Roman" w:hAnsi="Times New Roman"/>
          <w:color w:val="FF0000"/>
          <w:kern w:val="0"/>
          <w:highlight w:val="none"/>
          <w:u w:val="single"/>
        </w:rPr>
        <w:t>.3  2028年1月1日或以后交船的船舶。</w:t>
      </w:r>
    </w:p>
    <w:p>
      <w:pPr>
        <w:autoSpaceDE w:val="0"/>
        <w:autoSpaceDN w:val="0"/>
        <w:adjustRightInd w:val="0"/>
        <w:ind w:firstLine="630" w:firstLineChars="300"/>
        <w:rPr>
          <w:rFonts w:hint="eastAsia" w:ascii="Times New Roman" w:hAnsi="Times New Roman"/>
          <w:color w:val="FF0000"/>
          <w:kern w:val="0"/>
          <w:highlight w:val="none"/>
          <w:u w:val="single"/>
        </w:rPr>
      </w:pPr>
      <w:r>
        <w:rPr>
          <w:rFonts w:hint="eastAsia" w:ascii="Times New Roman" w:hAnsi="Times New Roman"/>
          <w:color w:val="FF0000"/>
          <w:kern w:val="0"/>
          <w:highlight w:val="none"/>
          <w:u w:val="single"/>
        </w:rPr>
        <w:t xml:space="preserve">. 3  </w:t>
      </w:r>
      <w:r>
        <w:rPr>
          <w:rFonts w:hint="eastAsia" w:ascii="Times New Roman" w:hAnsi="Times New Roman"/>
          <w:b/>
          <w:bCs/>
          <w:color w:val="FF0000"/>
          <w:kern w:val="0"/>
          <w:highlight w:val="none"/>
          <w:u w:val="single"/>
        </w:rPr>
        <w:t>所有船舶</w:t>
      </w:r>
      <w:r>
        <w:rPr>
          <w:rFonts w:hint="eastAsia" w:ascii="Times New Roman" w:hAnsi="Times New Roman"/>
          <w:color w:val="FF0000"/>
          <w:kern w:val="0"/>
          <w:highlight w:val="none"/>
          <w:u w:val="single"/>
        </w:rPr>
        <w:t>系指在2009年1月1日及以前或以后建造的船舶；</w:t>
      </w:r>
    </w:p>
    <w:p>
      <w:pPr>
        <w:autoSpaceDE w:val="0"/>
        <w:autoSpaceDN w:val="0"/>
        <w:adjustRightInd w:val="0"/>
        <w:ind w:firstLine="630" w:firstLineChars="300"/>
        <w:rPr>
          <w:rFonts w:hint="eastAsia" w:ascii="Times New Roman" w:hAnsi="Times New Roman"/>
          <w:kern w:val="0"/>
          <w:highlight w:val="none"/>
        </w:rPr>
      </w:pPr>
      <w:r>
        <w:rPr>
          <w:rFonts w:hint="eastAsia" w:ascii="Times New Roman" w:hAnsi="Times New Roman"/>
          <w:color w:val="FF0000"/>
          <w:kern w:val="0"/>
          <w:highlight w:val="none"/>
          <w:u w:val="single"/>
        </w:rPr>
        <w:t>. 4  无论何时建造的货船，一经改装成客船后，从开始改装之日起应视作客船。</w:t>
      </w:r>
      <w:r>
        <w:rPr>
          <w:rFonts w:hint="eastAsia" w:ascii="Times New Roman" w:hAnsi="Times New Roman"/>
          <w:kern w:val="0"/>
          <w:highlight w:val="none"/>
        </w:rPr>
        <w:t>”</w:t>
      </w:r>
    </w:p>
    <w:p>
      <w:pPr>
        <w:autoSpaceDE w:val="0"/>
        <w:autoSpaceDN w:val="0"/>
        <w:adjustRightInd w:val="0"/>
        <w:ind w:firstLine="630" w:firstLineChars="300"/>
        <w:rPr>
          <w:rFonts w:ascii="Times New Roman" w:hAnsi="Times New Roman"/>
          <w:strike/>
          <w:dstrike w:val="0"/>
          <w:color w:val="auto"/>
        </w:rPr>
      </w:pPr>
      <w:r>
        <w:rPr>
          <w:rFonts w:ascii="Times New Roman" w:hAnsi="Times New Roman"/>
          <w:strike/>
          <w:dstrike w:val="0"/>
          <w:color w:val="auto"/>
        </w:rPr>
        <w:t>1.3 </w:t>
      </w:r>
      <w:r>
        <w:rPr>
          <w:rFonts w:hint="eastAsia" w:ascii="Times New Roman" w:hAnsi="Times New Roman"/>
          <w:strike/>
          <w:dstrike w:val="0"/>
          <w:color w:val="auto"/>
        </w:rPr>
        <w:t xml:space="preserve">  就本章而言：</w:t>
      </w:r>
    </w:p>
    <w:p>
      <w:pPr>
        <w:pStyle w:val="24"/>
        <w:tabs>
          <w:tab w:val="left" w:pos="900"/>
        </w:tabs>
        <w:ind w:firstLine="630" w:firstLineChars="300"/>
        <w:rPr>
          <w:rFonts w:hint="eastAsia" w:ascii="Times New Roman" w:hAnsi="Times New Roman"/>
          <w:strike/>
          <w:dstrike w:val="0"/>
          <w:color w:val="auto"/>
        </w:rPr>
      </w:pPr>
      <w:r>
        <w:rPr>
          <w:rFonts w:ascii="Times New Roman" w:hAnsi="Times New Roman"/>
          <w:strike/>
          <w:dstrike w:val="0"/>
          <w:color w:val="auto"/>
        </w:rPr>
        <w:t>.1</w:t>
      </w:r>
      <w:r>
        <w:rPr>
          <w:rFonts w:hint="eastAsia" w:ascii="Times New Roman" w:hAnsi="Times New Roman"/>
          <w:strike/>
          <w:dstrike w:val="0"/>
          <w:color w:val="auto"/>
        </w:rPr>
        <w:t xml:space="preserve">  “建造的船舶”系指安放了龙骨或处于相似建造阶段的船舶；</w:t>
      </w:r>
    </w:p>
    <w:p>
      <w:pPr>
        <w:pStyle w:val="24"/>
        <w:tabs>
          <w:tab w:val="left" w:pos="900"/>
        </w:tabs>
        <w:ind w:firstLine="630" w:firstLineChars="300"/>
        <w:rPr>
          <w:rFonts w:hint="eastAsia" w:ascii="Times New Roman" w:hAnsi="Times New Roman"/>
          <w:strike/>
          <w:dstrike w:val="0"/>
          <w:color w:val="auto"/>
        </w:rPr>
      </w:pPr>
      <w:r>
        <w:rPr>
          <w:rFonts w:ascii="Times New Roman" w:hAnsi="Times New Roman"/>
          <w:strike/>
          <w:dstrike w:val="0"/>
          <w:color w:val="auto"/>
        </w:rPr>
        <w:t>.2</w:t>
      </w:r>
      <w:r>
        <w:rPr>
          <w:rFonts w:hint="eastAsia" w:ascii="Times New Roman" w:hAnsi="Times New Roman"/>
          <w:strike/>
          <w:dstrike w:val="0"/>
          <w:color w:val="auto"/>
        </w:rPr>
        <w:t xml:space="preserve">  “所有船舶”系指</w:t>
      </w:r>
      <w:r>
        <w:rPr>
          <w:rFonts w:ascii="Times New Roman" w:hAnsi="Times New Roman"/>
          <w:strike/>
          <w:dstrike w:val="0"/>
          <w:color w:val="auto"/>
        </w:rPr>
        <w:t>2009</w:t>
      </w:r>
      <w:r>
        <w:rPr>
          <w:rFonts w:hint="eastAsia" w:ascii="Times New Roman" w:hAnsi="Times New Roman"/>
          <w:strike/>
          <w:dstrike w:val="0"/>
          <w:color w:val="auto"/>
        </w:rPr>
        <w:t>年</w:t>
      </w:r>
      <w:r>
        <w:rPr>
          <w:rFonts w:ascii="Times New Roman" w:hAnsi="Times New Roman"/>
          <w:strike/>
          <w:dstrike w:val="0"/>
          <w:color w:val="auto"/>
        </w:rPr>
        <w:t>1</w:t>
      </w:r>
      <w:r>
        <w:rPr>
          <w:rFonts w:hint="eastAsia" w:ascii="Times New Roman" w:hAnsi="Times New Roman"/>
          <w:strike/>
          <w:dstrike w:val="0"/>
          <w:color w:val="auto"/>
        </w:rPr>
        <w:t>月</w:t>
      </w:r>
      <w:r>
        <w:rPr>
          <w:rFonts w:ascii="Times New Roman" w:hAnsi="Times New Roman"/>
          <w:strike/>
          <w:dstrike w:val="0"/>
          <w:color w:val="auto"/>
        </w:rPr>
        <w:t>1</w:t>
      </w:r>
      <w:r>
        <w:rPr>
          <w:rFonts w:hint="eastAsia" w:ascii="Times New Roman" w:hAnsi="Times New Roman"/>
          <w:strike/>
          <w:dstrike w:val="0"/>
          <w:color w:val="auto"/>
        </w:rPr>
        <w:t>日或以后建造的船舶；</w:t>
      </w:r>
    </w:p>
    <w:p>
      <w:pPr>
        <w:autoSpaceDE w:val="0"/>
        <w:autoSpaceDN w:val="0"/>
        <w:adjustRightInd w:val="0"/>
        <w:ind w:firstLine="630" w:firstLineChars="300"/>
        <w:rPr>
          <w:rFonts w:hint="eastAsia" w:ascii="Times New Roman" w:hAnsi="Times New Roman"/>
          <w:strike/>
          <w:dstrike w:val="0"/>
          <w:color w:val="auto"/>
          <w:kern w:val="0"/>
          <w:highlight w:val="none"/>
        </w:rPr>
      </w:pPr>
      <w:r>
        <w:rPr>
          <w:rFonts w:ascii="Times New Roman" w:hAnsi="Times New Roman"/>
          <w:strike/>
          <w:dstrike w:val="0"/>
          <w:color w:val="auto"/>
        </w:rPr>
        <w:t>.3</w:t>
      </w:r>
      <w:r>
        <w:rPr>
          <w:rFonts w:hint="eastAsia" w:ascii="Times New Roman" w:hAnsi="Times New Roman"/>
          <w:strike/>
          <w:dstrike w:val="0"/>
          <w:color w:val="auto"/>
        </w:rPr>
        <w:t xml:space="preserve">  无论何时建造的货船，一经改装成客船后，应被视为于开始改装之日建造的客船。</w:t>
      </w:r>
    </w:p>
    <w:p>
      <w:pPr>
        <w:autoSpaceDE w:val="0"/>
        <w:autoSpaceDN w:val="0"/>
        <w:adjustRightInd w:val="0"/>
        <w:ind w:firstLine="420" w:firstLineChars="200"/>
        <w:rPr>
          <w:rFonts w:ascii="Times New Roman" w:hAnsi="Times New Roman"/>
          <w:kern w:val="0"/>
          <w:highlight w:val="none"/>
        </w:rPr>
      </w:pPr>
    </w:p>
    <w:p>
      <w:pPr>
        <w:autoSpaceDE w:val="0"/>
        <w:autoSpaceDN w:val="0"/>
        <w:adjustRightInd w:val="0"/>
        <w:ind w:firstLine="630" w:firstLineChars="300"/>
        <w:rPr>
          <w:rFonts w:hint="eastAsia" w:ascii="Times New Roman" w:hAnsi="Times New Roman" w:eastAsia="楷体_GB2312"/>
          <w:kern w:val="0"/>
          <w:highlight w:val="none"/>
          <w:lang w:eastAsia="zh-CN"/>
        </w:rPr>
      </w:pPr>
      <w:r>
        <w:rPr>
          <w:rFonts w:hint="eastAsia" w:ascii="楷体_GB2312" w:eastAsia="楷体_GB2312"/>
          <w:highlight w:val="none"/>
          <w:lang w:eastAsia="zh-CN"/>
        </w:rPr>
        <w:t>原</w:t>
      </w:r>
      <w:r>
        <w:rPr>
          <w:rFonts w:hint="eastAsia" w:ascii="楷体_GB2312" w:eastAsia="楷体_GB2312"/>
          <w:highlight w:val="none"/>
        </w:rPr>
        <w:t>2</w:t>
      </w:r>
      <w:r>
        <w:rPr>
          <w:rFonts w:hint="eastAsia" w:ascii="楷体_GB2312" w:eastAsia="楷体_GB2312"/>
          <w:highlight w:val="none"/>
          <w:lang w:val="en-US" w:eastAsia="zh-CN"/>
        </w:rPr>
        <w:t>.2</w:t>
      </w:r>
      <w:r>
        <w:rPr>
          <w:rFonts w:hint="eastAsia" w:ascii="楷体_GB2312" w:eastAsia="楷体_GB2312"/>
          <w:highlight w:val="none"/>
          <w:lang w:eastAsia="zh-CN"/>
        </w:rPr>
        <w:t>改为</w:t>
      </w:r>
      <w:r>
        <w:rPr>
          <w:rFonts w:hint="eastAsia" w:ascii="楷体_GB2312" w:eastAsia="楷体_GB2312"/>
          <w:sz w:val="21"/>
          <w:szCs w:val="21"/>
          <w:highlight w:val="none"/>
        </w:rPr>
        <w:t>：</w:t>
      </w:r>
    </w:p>
    <w:p>
      <w:pPr>
        <w:autoSpaceDE w:val="0"/>
        <w:autoSpaceDN w:val="0"/>
        <w:adjustRightInd w:val="0"/>
        <w:ind w:left="840" w:leftChars="300" w:hanging="210" w:hangingChars="100"/>
        <w:rPr>
          <w:rFonts w:hint="eastAsia" w:ascii="Times New Roman" w:hAnsi="Times New Roman"/>
          <w:kern w:val="0"/>
          <w:highlight w:val="none"/>
        </w:rPr>
      </w:pPr>
      <w:r>
        <w:rPr>
          <w:rFonts w:hint="eastAsia" w:ascii="Times New Roman" w:hAnsi="Times New Roman"/>
          <w:kern w:val="0"/>
          <w:highlight w:val="none"/>
        </w:rPr>
        <w:t xml:space="preserve">“.2 </w:t>
      </w:r>
      <w:r>
        <w:rPr>
          <w:rFonts w:hint="eastAsia" w:ascii="Times New Roman" w:hAnsi="Times New Roman"/>
          <w:kern w:val="0"/>
          <w:highlight w:val="none"/>
          <w:lang w:val="en-US" w:eastAsia="zh-CN"/>
        </w:rPr>
        <w:t xml:space="preserve"> </w:t>
      </w:r>
      <w:r>
        <w:rPr>
          <w:rFonts w:hint="eastAsia" w:ascii="Times New Roman" w:hAnsi="Times New Roman"/>
          <w:kern w:val="0"/>
          <w:highlight w:val="none"/>
        </w:rPr>
        <w:t>确保使之符合</w:t>
      </w:r>
      <w:r>
        <w:rPr>
          <w:rFonts w:hint="eastAsia" w:ascii="Times New Roman" w:hAnsi="Times New Roman"/>
          <w:color w:val="FF0000"/>
          <w:kern w:val="0"/>
          <w:highlight w:val="none"/>
          <w:u w:val="single"/>
        </w:rPr>
        <w:t>第8-1.3和</w:t>
      </w:r>
      <w:r>
        <w:rPr>
          <w:rFonts w:hint="eastAsia" w:ascii="Times New Roman" w:hAnsi="Times New Roman"/>
          <w:kern w:val="0"/>
          <w:highlight w:val="none"/>
        </w:rPr>
        <w:t>19-1条的要求。”</w:t>
      </w:r>
    </w:p>
    <w:p>
      <w:pPr>
        <w:autoSpaceDE w:val="0"/>
        <w:autoSpaceDN w:val="0"/>
        <w:adjustRightInd w:val="0"/>
        <w:ind w:firstLine="420" w:firstLineChars="200"/>
        <w:rPr>
          <w:rFonts w:hint="eastAsia" w:ascii="楷体" w:hAnsi="楷体" w:eastAsia="楷体" w:cs="楷体"/>
          <w:snapToGrid w:val="0"/>
          <w:color w:val="040AFA"/>
          <w:kern w:val="0"/>
          <w:sz w:val="21"/>
          <w:szCs w:val="21"/>
          <w:lang w:val="en-US" w:eastAsia="zh-CN"/>
        </w:rPr>
      </w:pPr>
    </w:p>
    <w:p>
      <w:pPr>
        <w:pStyle w:val="3"/>
        <w:ind w:left="0"/>
        <w:jc w:val="center"/>
        <w:rPr>
          <w:rFonts w:hint="default" w:ascii="Times New Roman" w:hAnsi="Times New Roman" w:cs="Times New Roman" w:eastAsiaTheme="minorEastAsia"/>
          <w:kern w:val="0"/>
          <w:highlight w:val="none"/>
          <w:lang w:val="en-US" w:eastAsia="zh-CN"/>
        </w:rPr>
      </w:pPr>
      <w:bookmarkStart w:id="11" w:name="_Toc13488"/>
      <w:r>
        <w:rPr>
          <w:rFonts w:hint="default" w:ascii="Times New Roman" w:hAnsi="Times New Roman" w:cs="Times New Roman"/>
          <w:bCs w:val="0"/>
          <w:caps w:val="0"/>
          <w:kern w:val="0"/>
          <w:sz w:val="21"/>
          <w:szCs w:val="21"/>
          <w:highlight w:val="none"/>
          <w:lang w:val="en-US"/>
        </w:rPr>
        <w:t>A</w:t>
      </w:r>
      <w:r>
        <w:rPr>
          <w:rFonts w:hint="default" w:ascii="Times New Roman" w:hAnsi="Times New Roman" w:cs="Times New Roman"/>
          <w:bCs w:val="0"/>
          <w:caps w:val="0"/>
          <w:kern w:val="0"/>
          <w:sz w:val="21"/>
          <w:szCs w:val="21"/>
          <w:highlight w:val="none"/>
          <w:lang w:val="en-US" w:eastAsia="zh-CN"/>
        </w:rPr>
        <w:t>-1</w:t>
      </w:r>
      <w:r>
        <w:rPr>
          <w:rFonts w:hint="default" w:ascii="Times New Roman" w:hAnsi="Times New Roman" w:cs="Times New Roman"/>
          <w:bCs w:val="0"/>
          <w:caps w:val="0"/>
          <w:kern w:val="0"/>
          <w:sz w:val="21"/>
          <w:szCs w:val="21"/>
          <w:highlight w:val="none"/>
          <w:lang w:val="en-US"/>
        </w:rPr>
        <w:t>部分　</w:t>
      </w:r>
      <w:r>
        <w:rPr>
          <w:rFonts w:hint="default" w:ascii="Times New Roman" w:hAnsi="Times New Roman" w:cs="Times New Roman"/>
          <w:bCs w:val="0"/>
          <w:caps w:val="0"/>
          <w:kern w:val="0"/>
          <w:sz w:val="21"/>
          <w:szCs w:val="21"/>
          <w:highlight w:val="none"/>
          <w:lang w:val="en-US" w:eastAsia="zh-CN"/>
        </w:rPr>
        <w:t>船 舶 结 构</w:t>
      </w:r>
      <w:bookmarkEnd w:id="11"/>
    </w:p>
    <w:p>
      <w:pPr>
        <w:autoSpaceDE w:val="0"/>
        <w:autoSpaceDN w:val="0"/>
        <w:adjustRightInd w:val="0"/>
        <w:ind w:firstLine="420" w:firstLineChars="200"/>
        <w:jc w:val="left"/>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hint="eastAsia" w:ascii="Times New Roman" w:hAnsi="Times New Roman" w:cstheme="minorBidi"/>
          <w:bCs w:val="0"/>
          <w:caps w:val="0"/>
          <w:kern w:val="0"/>
          <w:sz w:val="21"/>
          <w:szCs w:val="21"/>
          <w:highlight w:val="none"/>
          <w:lang w:val="en-US" w:eastAsia="zh-CN"/>
        </w:rPr>
      </w:pPr>
      <w:bookmarkStart w:id="12" w:name="_Toc2084"/>
      <w:bookmarkStart w:id="13" w:name="_Toc521938864"/>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3-3</w:t>
      </w:r>
      <w:r>
        <w:rPr>
          <w:rFonts w:hint="eastAsia" w:ascii="Times New Roman" w:hAnsi="Times New Roman" w:cstheme="minorBidi"/>
          <w:bCs w:val="0"/>
          <w:caps w:val="0"/>
          <w:kern w:val="0"/>
          <w:sz w:val="21"/>
          <w:szCs w:val="21"/>
          <w:highlight w:val="none"/>
          <w:lang w:val="en-US"/>
        </w:rPr>
        <w:t xml:space="preserve">条 </w:t>
      </w:r>
      <w:r>
        <w:rPr>
          <w:rFonts w:hint="eastAsia" w:ascii="Times New Roman" w:hAnsi="Times New Roman" w:cstheme="minorBidi"/>
          <w:bCs w:val="0"/>
          <w:caps w:val="0"/>
          <w:kern w:val="0"/>
          <w:sz w:val="21"/>
          <w:szCs w:val="21"/>
          <w:highlight w:val="none"/>
          <w:lang w:val="en-US" w:eastAsia="zh-CN"/>
        </w:rPr>
        <w:t>拖带和系泊设备</w:t>
      </w:r>
      <w:bookmarkEnd w:id="12"/>
    </w:p>
    <w:p>
      <w:pPr>
        <w:spacing w:after="156" w:afterLines="50"/>
        <w:ind w:firstLine="420" w:firstLineChars="200"/>
        <w:rPr>
          <w:rFonts w:ascii="楷体" w:hAnsi="楷体" w:eastAsia="楷体"/>
          <w:szCs w:val="22"/>
          <w:highlight w:val="none"/>
        </w:rPr>
      </w:pPr>
      <w:r>
        <w:rPr>
          <w:rFonts w:hint="eastAsia" w:ascii="楷体" w:hAnsi="楷体" w:eastAsia="楷体"/>
          <w:szCs w:val="22"/>
          <w:highlight w:val="none"/>
          <w:lang w:eastAsia="zh-CN"/>
        </w:rPr>
        <w:t>本条</w:t>
      </w:r>
      <w:r>
        <w:rPr>
          <w:rFonts w:hint="eastAsia" w:ascii="楷体" w:hAnsi="楷体" w:eastAsia="楷体"/>
          <w:szCs w:val="22"/>
          <w:highlight w:val="none"/>
          <w:lang w:val="en-US" w:eastAsia="zh-CN"/>
        </w:rPr>
        <w:t>2</w:t>
      </w:r>
      <w:r>
        <w:rPr>
          <w:rFonts w:hint="eastAsia" w:ascii="楷体" w:hAnsi="楷体" w:eastAsia="楷体"/>
          <w:szCs w:val="22"/>
          <w:highlight w:val="none"/>
          <w:lang w:eastAsia="zh-CN"/>
        </w:rPr>
        <w:t>内原</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3 \* GB3 \* MERGEFORMAT </w:instrText>
      </w:r>
      <w:r>
        <w:rPr>
          <w:rFonts w:hint="eastAsia" w:ascii="楷体" w:hAnsi="楷体" w:eastAsia="楷体"/>
          <w:szCs w:val="22"/>
          <w:highlight w:val="none"/>
        </w:rPr>
        <w:fldChar w:fldCharType="separate"/>
      </w:r>
      <w:r>
        <w:t>③</w:t>
      </w:r>
      <w:r>
        <w:rPr>
          <w:rFonts w:hint="eastAsia" w:ascii="楷体" w:hAnsi="楷体" w:eastAsia="楷体"/>
          <w:szCs w:val="22"/>
          <w:highlight w:val="none"/>
        </w:rPr>
        <w:fldChar w:fldCharType="end"/>
      </w:r>
      <w:r>
        <w:rPr>
          <w:rFonts w:hint="eastAsia" w:ascii="楷体" w:hAnsi="楷体" w:eastAsia="楷体"/>
          <w:highlight w:val="none"/>
          <w:lang w:eastAsia="zh-CN"/>
        </w:rPr>
        <w:t>文本改为</w:t>
      </w:r>
      <w:r>
        <w:rPr>
          <w:rFonts w:ascii="楷体" w:hAnsi="楷体" w:eastAsia="楷体"/>
          <w:szCs w:val="22"/>
          <w:highlight w:val="none"/>
        </w:rPr>
        <w:t>：</w:t>
      </w:r>
    </w:p>
    <w:p>
      <w:pPr>
        <w:ind w:firstLine="420" w:firstLineChars="200"/>
        <w:rPr>
          <w:rFonts w:hint="eastAsia"/>
          <w:highlight w:val="none"/>
          <w:lang w:eastAsia="zh-CN"/>
        </w:rPr>
      </w:pPr>
      <w:r>
        <w:rPr>
          <w:rFonts w:hint="eastAsia"/>
          <w:highlight w:val="none"/>
        </w:rPr>
        <w:t>“</w:t>
      </w:r>
      <w:r>
        <w:rPr>
          <w:rFonts w:hint="eastAsia"/>
          <w:highlight w:val="none"/>
        </w:rPr>
        <w:fldChar w:fldCharType="begin"/>
      </w:r>
      <w:r>
        <w:rPr>
          <w:rFonts w:hint="eastAsia"/>
          <w:highlight w:val="none"/>
        </w:rPr>
        <w:instrText xml:space="preserve"> = 3 \* GB3 \* MERGEFORMAT </w:instrText>
      </w:r>
      <w:r>
        <w:rPr>
          <w:rFonts w:hint="eastAsia"/>
          <w:highlight w:val="none"/>
        </w:rPr>
        <w:fldChar w:fldCharType="separate"/>
      </w:r>
      <w:r>
        <w:t>③</w:t>
      </w:r>
      <w:r>
        <w:rPr>
          <w:rFonts w:hint="eastAsia"/>
          <w:highlight w:val="none"/>
        </w:rPr>
        <w:fldChar w:fldCharType="end"/>
      </w:r>
      <w:r>
        <w:rPr>
          <w:rFonts w:hint="eastAsia"/>
          <w:highlight w:val="none"/>
          <w:lang w:val="en-US" w:eastAsia="zh-CN"/>
        </w:rPr>
        <w:t xml:space="preserve"> </w:t>
      </w:r>
      <w:r>
        <w:rPr>
          <w:rFonts w:hint="default" w:ascii="Times New Roman" w:hAnsi="Times New Roman" w:cs="Times New Roman"/>
          <w:strike w:val="0"/>
          <w:dstrike w:val="0"/>
          <w:color w:val="auto"/>
        </w:rPr>
        <w:t>参见</w:t>
      </w:r>
      <w:r>
        <w:rPr>
          <w:rFonts w:hint="eastAsia" w:ascii="Times New Roman" w:hAnsi="Times New Roman" w:cs="Times New Roman"/>
          <w:strike w:val="0"/>
          <w:dstrike w:val="0"/>
          <w:color w:val="auto"/>
          <w:lang w:val="en-US" w:eastAsia="zh-CN"/>
        </w:rPr>
        <w:t>海上安全委员会以MSC.62(67)</w:t>
      </w:r>
      <w:r>
        <w:rPr>
          <w:rFonts w:hint="eastAsia" w:ascii="Times New Roman" w:hAnsi="Times New Roman" w:cs="Times New Roman"/>
          <w:strike w:val="0"/>
          <w:dstrike w:val="0"/>
          <w:color w:val="FF0000"/>
          <w:u w:val="single"/>
          <w:lang w:val="en-US" w:eastAsia="zh-CN"/>
        </w:rPr>
        <w:t>/Rev.1</w:t>
      </w:r>
      <w:r>
        <w:rPr>
          <w:rFonts w:hint="eastAsia" w:ascii="Times New Roman" w:hAnsi="Times New Roman" w:cs="Times New Roman"/>
          <w:strike w:val="0"/>
          <w:dstrike w:val="0"/>
          <w:color w:val="auto"/>
          <w:lang w:val="en-US" w:eastAsia="zh-CN"/>
        </w:rPr>
        <w:t>决议通过的《进入液货船船首的安全通道指南》</w:t>
      </w:r>
      <w:r>
        <w:rPr>
          <w:rFonts w:hint="eastAsia"/>
          <w:highlight w:val="none"/>
          <w:lang w:eastAsia="zh-CN"/>
        </w:rPr>
        <w:t>”</w:t>
      </w: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hint="eastAsia" w:ascii="Times New Roman" w:hAnsi="Times New Roman" w:eastAsiaTheme="minorEastAsia"/>
          <w:kern w:val="0"/>
          <w:highlight w:val="none"/>
          <w:lang w:eastAsia="zh-CN"/>
        </w:rPr>
      </w:pPr>
      <w:bookmarkStart w:id="14" w:name="_Toc82"/>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3-8</w:t>
      </w:r>
      <w:r>
        <w:rPr>
          <w:rFonts w:hint="eastAsia" w:ascii="Times New Roman" w:hAnsi="Times New Roman" w:cstheme="minorBidi"/>
          <w:bCs w:val="0"/>
          <w:caps w:val="0"/>
          <w:kern w:val="0"/>
          <w:sz w:val="21"/>
          <w:szCs w:val="21"/>
          <w:highlight w:val="none"/>
          <w:lang w:val="en-US"/>
        </w:rPr>
        <w:t>条</w:t>
      </w:r>
      <w:r>
        <w:rPr>
          <w:rFonts w:ascii="Times New Roman" w:hAnsi="Times New Roman" w:cstheme="minorBidi"/>
          <w:bCs w:val="0"/>
          <w:caps w:val="0"/>
          <w:kern w:val="0"/>
          <w:sz w:val="21"/>
          <w:szCs w:val="21"/>
          <w:highlight w:val="none"/>
          <w:lang w:val="en-US"/>
        </w:rPr>
        <w:t xml:space="preserve"> </w:t>
      </w:r>
      <w:bookmarkEnd w:id="13"/>
      <w:r>
        <w:rPr>
          <w:rFonts w:hint="eastAsia" w:ascii="Times New Roman" w:hAnsi="Times New Roman" w:cstheme="minorBidi"/>
          <w:bCs w:val="0"/>
          <w:caps w:val="0"/>
          <w:kern w:val="0"/>
          <w:sz w:val="21"/>
          <w:szCs w:val="21"/>
          <w:highlight w:val="none"/>
          <w:lang w:val="en-US" w:eastAsia="zh-CN"/>
        </w:rPr>
        <w:t>拖带和系泊设备</w:t>
      </w:r>
      <w:bookmarkEnd w:id="14"/>
    </w:p>
    <w:p>
      <w:pPr>
        <w:autoSpaceDE w:val="0"/>
        <w:autoSpaceDN w:val="0"/>
        <w:adjustRightInd w:val="0"/>
        <w:ind w:firstLine="420" w:firstLineChars="200"/>
        <w:rPr>
          <w:rFonts w:ascii="Times New Roman" w:hAnsi="Times New Roman"/>
          <w:kern w:val="0"/>
          <w:highlight w:val="none"/>
        </w:rPr>
      </w:pPr>
    </w:p>
    <w:p>
      <w:pPr>
        <w:pStyle w:val="24"/>
        <w:tabs>
          <w:tab w:val="left" w:pos="924"/>
        </w:tabs>
        <w:ind w:firstLine="420" w:firstLineChars="200"/>
        <w:rPr>
          <w:rFonts w:hint="eastAsia" w:ascii="楷体" w:hAnsi="楷体" w:eastAsia="楷体"/>
          <w:color w:val="auto"/>
          <w:highlight w:val="none"/>
          <w:u w:val="none"/>
        </w:rPr>
      </w:pPr>
      <w:r>
        <w:rPr>
          <w:rFonts w:hint="eastAsia" w:ascii="楷体" w:hAnsi="楷体" w:eastAsia="楷体"/>
          <w:color w:val="auto"/>
          <w:highlight w:val="none"/>
          <w:u w:val="none"/>
        </w:rPr>
        <w:t>自2024年1月1日起，</w:t>
      </w:r>
      <w:r>
        <w:rPr>
          <w:rFonts w:hint="eastAsia" w:ascii="楷体" w:hAnsi="楷体" w:eastAsia="楷体"/>
          <w:color w:val="auto"/>
          <w:highlight w:val="none"/>
          <w:u w:val="none"/>
          <w:lang w:val="en-US" w:eastAsia="zh-CN"/>
        </w:rPr>
        <w:t>本条原有全部条款</w:t>
      </w:r>
      <w:r>
        <w:rPr>
          <w:rFonts w:hint="eastAsia" w:ascii="楷体_GB2312" w:eastAsia="楷体_GB2312"/>
          <w:highlight w:val="none"/>
          <w:lang w:eastAsia="zh-CN"/>
        </w:rPr>
        <w:t>改为：</w:t>
      </w:r>
    </w:p>
    <w:p>
      <w:pPr>
        <w:pStyle w:val="24"/>
        <w:ind w:firstLine="420"/>
        <w:rPr>
          <w:rFonts w:ascii="Times New Roman" w:hAnsi="Times New Roman"/>
          <w:color w:val="FF0000"/>
          <w:highlight w:val="none"/>
          <w:u w:val="single"/>
        </w:rPr>
      </w:pPr>
      <w:r>
        <w:rPr>
          <w:rFonts w:hint="eastAsia" w:ascii="Times New Roman" w:hAnsi="Times New Roman"/>
          <w:color w:val="auto"/>
          <w:highlight w:val="none"/>
          <w:u w:val="none"/>
        </w:rPr>
        <w:t>“</w:t>
      </w:r>
      <w:r>
        <w:rPr>
          <w:rFonts w:ascii="Times New Roman" w:hAnsi="Times New Roman"/>
          <w:color w:val="FF0000"/>
          <w:highlight w:val="none"/>
          <w:u w:val="single"/>
        </w:rPr>
        <w:t>1</w:t>
      </w:r>
      <w:r>
        <w:rPr>
          <w:rFonts w:hint="eastAsia" w:ascii="Times New Roman" w:hAnsi="Times New Roman"/>
          <w:color w:val="FF0000"/>
          <w:highlight w:val="none"/>
          <w:u w:val="single"/>
        </w:rPr>
        <w:t>　本条4至6适用于</w:t>
      </w:r>
      <w:r>
        <w:rPr>
          <w:rFonts w:ascii="Times New Roman" w:hAnsi="Times New Roman"/>
          <w:color w:val="FF0000"/>
          <w:highlight w:val="none"/>
          <w:u w:val="single"/>
        </w:rPr>
        <w:t>2007</w:t>
      </w:r>
      <w:r>
        <w:rPr>
          <w:rFonts w:hint="eastAsia" w:ascii="Times New Roman" w:hAnsi="Times New Roman"/>
          <w:color w:val="FF0000"/>
          <w:highlight w:val="none"/>
          <w:u w:val="single"/>
        </w:rPr>
        <w:t>年</w:t>
      </w:r>
      <w:r>
        <w:rPr>
          <w:rFonts w:ascii="Times New Roman" w:hAnsi="Times New Roman"/>
          <w:color w:val="FF0000"/>
          <w:highlight w:val="none"/>
          <w:u w:val="single"/>
        </w:rPr>
        <w:t>1</w:t>
      </w:r>
      <w:r>
        <w:rPr>
          <w:rFonts w:hint="eastAsia" w:ascii="Times New Roman" w:hAnsi="Times New Roman"/>
          <w:color w:val="FF0000"/>
          <w:highlight w:val="none"/>
          <w:u w:val="single"/>
        </w:rPr>
        <w:t>月</w:t>
      </w:r>
      <w:r>
        <w:rPr>
          <w:rFonts w:ascii="Times New Roman" w:hAnsi="Times New Roman"/>
          <w:color w:val="FF0000"/>
          <w:highlight w:val="none"/>
          <w:u w:val="single"/>
        </w:rPr>
        <w:t>1</w:t>
      </w:r>
      <w:r>
        <w:rPr>
          <w:rFonts w:hint="eastAsia" w:ascii="Times New Roman" w:hAnsi="Times New Roman"/>
          <w:color w:val="FF0000"/>
          <w:highlight w:val="none"/>
          <w:u w:val="single"/>
        </w:rPr>
        <w:t>日或以后建造的船舶。</w:t>
      </w:r>
    </w:p>
    <w:p>
      <w:pPr>
        <w:ind w:firstLine="420" w:firstLineChars="200"/>
        <w:rPr>
          <w:rFonts w:ascii="Times New Roman" w:hAnsi="Times New Roman"/>
          <w:color w:val="FF0000"/>
          <w:highlight w:val="none"/>
          <w:u w:val="single"/>
        </w:rPr>
      </w:pPr>
      <w:r>
        <w:rPr>
          <w:rFonts w:hint="eastAsia" w:ascii="Times New Roman" w:hAnsi="Times New Roman"/>
          <w:color w:val="FF0000"/>
          <w:highlight w:val="none"/>
          <w:u w:val="single"/>
        </w:rPr>
        <w:t>2　本条7和8仅适用于：</w:t>
      </w:r>
    </w:p>
    <w:p>
      <w:pPr>
        <w:ind w:firstLine="735" w:firstLineChars="350"/>
        <w:rPr>
          <w:rFonts w:ascii="Times New Roman" w:hAnsi="Times New Roman"/>
          <w:color w:val="FF0000"/>
          <w:highlight w:val="none"/>
          <w:u w:val="single"/>
        </w:rPr>
      </w:pPr>
      <w:r>
        <w:rPr>
          <w:rFonts w:ascii="Times New Roman" w:hAnsi="Times New Roman"/>
          <w:color w:val="FF0000"/>
          <w:highlight w:val="none"/>
          <w:u w:val="single"/>
        </w:rPr>
        <w:t>.1</w:t>
      </w:r>
      <w:r>
        <w:rPr>
          <w:rFonts w:hint="eastAsia" w:ascii="Times New Roman" w:hAnsi="Times New Roman"/>
          <w:color w:val="FF0000"/>
          <w:highlight w:val="none"/>
          <w:u w:val="single"/>
        </w:rPr>
        <w:t xml:space="preserve">  2024年1月1日或以后签订建造合同的船舶；或</w:t>
      </w:r>
    </w:p>
    <w:p>
      <w:pPr>
        <w:ind w:left="1785" w:leftChars="200" w:hanging="1365" w:hangingChars="650"/>
        <w:rPr>
          <w:rFonts w:ascii="Times New Roman" w:hAnsi="Times New Roman"/>
          <w:color w:val="FF0000"/>
          <w:highlight w:val="none"/>
          <w:u w:val="single"/>
        </w:rPr>
      </w:pPr>
      <w:r>
        <w:rPr>
          <w:rFonts w:hint="eastAsia" w:ascii="Times New Roman" w:hAnsi="Times New Roman"/>
          <w:color w:val="FF0000"/>
          <w:highlight w:val="none"/>
          <w:u w:val="single"/>
        </w:rPr>
        <w:t xml:space="preserve">   </w:t>
      </w:r>
      <w:r>
        <w:rPr>
          <w:rFonts w:ascii="Times New Roman" w:hAnsi="Times New Roman"/>
          <w:color w:val="FF0000"/>
          <w:highlight w:val="none"/>
          <w:u w:val="single"/>
        </w:rPr>
        <w:t>.2</w:t>
      </w:r>
      <w:r>
        <w:rPr>
          <w:rFonts w:hint="eastAsia" w:ascii="Times New Roman" w:hAnsi="Times New Roman"/>
          <w:color w:val="FF0000"/>
          <w:highlight w:val="none"/>
          <w:u w:val="single"/>
        </w:rPr>
        <w:t xml:space="preserve">  无建造合同，2024年7月1日或以后安放龙骨或处于类似建造阶段的船舶；或</w:t>
      </w:r>
    </w:p>
    <w:p>
      <w:pPr>
        <w:ind w:firstLine="210" w:firstLineChars="100"/>
        <w:rPr>
          <w:rFonts w:ascii="Times New Roman" w:hAnsi="Times New Roman"/>
          <w:color w:val="FF0000"/>
          <w:highlight w:val="none"/>
          <w:u w:val="single"/>
        </w:rPr>
      </w:pPr>
      <w:r>
        <w:rPr>
          <w:rFonts w:hint="eastAsia" w:ascii="Times New Roman" w:hAnsi="Times New Roman"/>
          <w:color w:val="FF0000"/>
          <w:highlight w:val="none"/>
          <w:u w:val="single"/>
        </w:rPr>
        <w:t xml:space="preserve">     </w:t>
      </w:r>
      <w:r>
        <w:rPr>
          <w:rFonts w:ascii="Times New Roman" w:hAnsi="Times New Roman"/>
          <w:color w:val="FF0000"/>
          <w:highlight w:val="none"/>
          <w:u w:val="single"/>
        </w:rPr>
        <w:t>.3</w:t>
      </w:r>
      <w:r>
        <w:rPr>
          <w:rFonts w:hint="eastAsia" w:ascii="Times New Roman" w:hAnsi="Times New Roman"/>
          <w:color w:val="FF0000"/>
          <w:highlight w:val="none"/>
          <w:u w:val="single"/>
        </w:rPr>
        <w:t xml:space="preserve">  2027年1月1日或以后交船的船舶。</w:t>
      </w:r>
    </w:p>
    <w:p>
      <w:pPr>
        <w:ind w:firstLine="420" w:firstLineChars="200"/>
        <w:rPr>
          <w:rFonts w:ascii="Times New Roman" w:hAnsi="Times New Roman"/>
          <w:color w:val="FF0000"/>
          <w:highlight w:val="none"/>
          <w:u w:val="single"/>
        </w:rPr>
      </w:pPr>
      <w:r>
        <w:rPr>
          <w:rFonts w:hint="eastAsia" w:ascii="Times New Roman" w:hAnsi="Times New Roman"/>
          <w:color w:val="FF0000"/>
          <w:highlight w:val="none"/>
          <w:u w:val="single"/>
        </w:rPr>
        <w:t>3　本条不适用于按照第</w:t>
      </w:r>
      <w:r>
        <w:rPr>
          <w:rFonts w:ascii="Times New Roman" w:hAnsi="Times New Roman"/>
          <w:color w:val="FF0000"/>
          <w:highlight w:val="none"/>
          <w:u w:val="single"/>
        </w:rPr>
        <w:t>3-4</w:t>
      </w:r>
      <w:r>
        <w:rPr>
          <w:rFonts w:hint="eastAsia" w:ascii="Times New Roman" w:hAnsi="Times New Roman"/>
          <w:color w:val="FF0000"/>
          <w:highlight w:val="none"/>
          <w:u w:val="single"/>
        </w:rPr>
        <w:t>条配备的拖带装置。</w:t>
      </w:r>
    </w:p>
    <w:p>
      <w:pPr>
        <w:ind w:firstLine="420" w:firstLineChars="200"/>
        <w:rPr>
          <w:rFonts w:ascii="Times New Roman" w:hAnsi="Times New Roman"/>
          <w:color w:val="FF0000"/>
          <w:highlight w:val="none"/>
          <w:u w:val="single"/>
        </w:rPr>
      </w:pPr>
      <w:r>
        <w:rPr>
          <w:rFonts w:hint="eastAsia" w:ascii="Times New Roman" w:hAnsi="Times New Roman"/>
          <w:color w:val="FF0000"/>
          <w:highlight w:val="none"/>
          <w:u w:val="single"/>
        </w:rPr>
        <w:t>4　船舶所配备的装置、设备和附件的工作负荷应足以安全进行与船舶正常操作有关的所有拖带和系泊作业。</w:t>
      </w:r>
    </w:p>
    <w:p>
      <w:pPr>
        <w:ind w:firstLine="420" w:firstLineChars="200"/>
        <w:rPr>
          <w:rFonts w:ascii="Times New Roman" w:hAnsi="Times New Roman"/>
          <w:color w:val="FF0000"/>
          <w:highlight w:val="none"/>
          <w:u w:val="single"/>
        </w:rPr>
      </w:pPr>
      <w:r>
        <w:rPr>
          <w:rFonts w:hint="eastAsia" w:ascii="Times New Roman" w:hAnsi="Times New Roman"/>
          <w:color w:val="FF0000"/>
          <w:highlight w:val="none"/>
          <w:u w:val="single"/>
        </w:rPr>
        <w:t>5　按照本条4配备的装置、设备和附件应满足主管机关或主管机关根据第</w:t>
      </w:r>
      <w:r>
        <w:rPr>
          <w:rFonts w:ascii="Times New Roman" w:hAnsi="Times New Roman"/>
          <w:color w:val="FF0000"/>
          <w:highlight w:val="none"/>
          <w:u w:val="single"/>
        </w:rPr>
        <w:t>I/6</w:t>
      </w:r>
      <w:r>
        <w:rPr>
          <w:rFonts w:hint="eastAsia" w:ascii="Times New Roman" w:hAnsi="Times New Roman"/>
          <w:color w:val="FF0000"/>
          <w:highlight w:val="none"/>
          <w:u w:val="single"/>
        </w:rPr>
        <w:t>条所认可组织的相应要求</w:t>
      </w:r>
      <w:r>
        <w:rPr>
          <w:rFonts w:ascii="Times New Roman" w:hAnsi="Times New Roman"/>
          <w:color w:val="FF0000"/>
          <w:highlight w:val="none"/>
          <w:u w:val="single"/>
          <w:vertAlign w:val="superscript"/>
        </w:rPr>
        <w:footnoteReference w:id="0"/>
      </w:r>
      <w:r>
        <w:rPr>
          <w:rFonts w:hint="eastAsia" w:ascii="Times New Roman" w:hAnsi="Times New Roman"/>
          <w:color w:val="FF0000"/>
          <w:highlight w:val="none"/>
          <w:u w:val="single"/>
        </w:rPr>
        <w:t>。</w:t>
      </w:r>
    </w:p>
    <w:p>
      <w:pPr>
        <w:ind w:firstLine="420" w:firstLineChars="200"/>
        <w:rPr>
          <w:rFonts w:ascii="Times New Roman" w:hAnsi="Times New Roman"/>
          <w:color w:val="FF0000"/>
          <w:highlight w:val="none"/>
          <w:u w:val="single"/>
        </w:rPr>
      </w:pPr>
      <w:r>
        <w:rPr>
          <w:rFonts w:hint="eastAsia" w:ascii="Times New Roman" w:hAnsi="Times New Roman"/>
          <w:color w:val="FF0000"/>
          <w:highlight w:val="none"/>
          <w:u w:val="single"/>
        </w:rPr>
        <w:t>6　根据本条配备的每一附件或每项设备均应清晰标有与其安全操作有关的任何限制，其中应计及支撑船舶的结构强度以及附件和设备与船舶结构的联接强度。</w:t>
      </w:r>
    </w:p>
    <w:p>
      <w:pPr>
        <w:ind w:firstLine="420" w:firstLineChars="200"/>
        <w:rPr>
          <w:rFonts w:ascii="Times New Roman" w:hAnsi="Times New Roman"/>
          <w:color w:val="FF0000"/>
          <w:highlight w:val="none"/>
          <w:u w:val="single"/>
        </w:rPr>
      </w:pPr>
      <w:r>
        <w:rPr>
          <w:rFonts w:hint="eastAsia" w:ascii="Times New Roman" w:hAnsi="Times New Roman"/>
          <w:color w:val="FF0000"/>
          <w:highlight w:val="none"/>
          <w:u w:val="single"/>
        </w:rPr>
        <w:t>7　对于3000总吨及以上的船舶，应根据本组织制定的指南</w:t>
      </w:r>
      <w:r>
        <w:rPr>
          <w:rStyle w:val="60"/>
          <w:rFonts w:ascii="Times New Roman" w:hAnsi="Times New Roman"/>
          <w:color w:val="FF0000"/>
          <w:highlight w:val="none"/>
          <w:u w:val="single"/>
        </w:rPr>
        <w:footnoteReference w:id="1"/>
      </w:r>
      <w:r>
        <w:rPr>
          <w:rFonts w:hint="eastAsia" w:ascii="Times New Roman" w:hAnsi="Times New Roman"/>
          <w:color w:val="FF0000"/>
          <w:highlight w:val="none"/>
          <w:u w:val="single"/>
        </w:rPr>
        <w:t>设计系泊装置并选择系泊设备（包括系泊索），以确保职业安全和船舶的安全系泊。船上应提供并保存船舶特定的信息</w:t>
      </w:r>
      <w:r>
        <w:rPr>
          <w:rStyle w:val="60"/>
          <w:rFonts w:ascii="Times New Roman" w:hAnsi="Times New Roman"/>
          <w:color w:val="FF0000"/>
          <w:highlight w:val="none"/>
          <w:u w:val="single"/>
        </w:rPr>
        <w:footnoteReference w:id="2"/>
      </w:r>
      <w:r>
        <w:rPr>
          <w:rFonts w:hint="eastAsia" w:ascii="Times New Roman" w:hAnsi="Times New Roman"/>
          <w:color w:val="FF0000"/>
          <w:highlight w:val="none"/>
          <w:u w:val="single"/>
        </w:rPr>
        <w:t>。</w:t>
      </w:r>
    </w:p>
    <w:p>
      <w:pPr>
        <w:ind w:firstLine="420" w:firstLineChars="200"/>
        <w:rPr>
          <w:rFonts w:ascii="Times New Roman" w:hAnsi="Times New Roman"/>
          <w:color w:val="FF0000"/>
          <w:highlight w:val="none"/>
          <w:u w:val="single"/>
        </w:rPr>
      </w:pPr>
      <w:r>
        <w:rPr>
          <w:rFonts w:hint="eastAsia" w:ascii="Times New Roman" w:hAnsi="Times New Roman"/>
          <w:color w:val="FF0000"/>
          <w:highlight w:val="none"/>
          <w:u w:val="single"/>
        </w:rPr>
        <w:t>8　3000总吨以下的船舶应在合理可行的情况下符合本条7的要求，或符合主管机关的适用国家标准。</w:t>
      </w:r>
    </w:p>
    <w:p>
      <w:pPr>
        <w:pStyle w:val="24"/>
        <w:ind w:firstLine="420" w:firstLineChars="200"/>
        <w:rPr>
          <w:rFonts w:hint="eastAsia"/>
          <w:color w:val="FF0000"/>
          <w:kern w:val="0"/>
          <w:highlight w:val="none"/>
          <w:u w:val="single"/>
        </w:rPr>
      </w:pPr>
      <w:r>
        <w:rPr>
          <w:rFonts w:hint="eastAsia" w:ascii="Times New Roman" w:hAnsi="Times New Roman"/>
          <w:color w:val="FF0000"/>
          <w:szCs w:val="24"/>
          <w:highlight w:val="none"/>
          <w:u w:val="single"/>
        </w:rPr>
        <w:t>9　</w:t>
      </w:r>
      <w:r>
        <w:rPr>
          <w:color w:val="FF0000"/>
          <w:kern w:val="0"/>
          <w:highlight w:val="none"/>
          <w:u w:val="single"/>
        </w:rPr>
        <w:t>所有船舶的</w:t>
      </w:r>
      <w:r>
        <w:rPr>
          <w:rFonts w:hint="eastAsia" w:ascii="Times New Roman" w:hAnsi="Times New Roman"/>
          <w:color w:val="FF0000"/>
          <w:szCs w:val="24"/>
          <w:highlight w:val="none"/>
          <w:u w:val="single"/>
        </w:rPr>
        <w:t>系泊设备（包括系泊索）</w:t>
      </w:r>
      <w:r>
        <w:rPr>
          <w:color w:val="FF0000"/>
          <w:kern w:val="0"/>
          <w:highlight w:val="none"/>
          <w:u w:val="single"/>
        </w:rPr>
        <w:t>应根据其预期用途，在</w:t>
      </w:r>
      <w:r>
        <w:rPr>
          <w:rFonts w:hint="eastAsia"/>
          <w:color w:val="FF0000"/>
          <w:kern w:val="0"/>
          <w:highlight w:val="none"/>
          <w:u w:val="single"/>
        </w:rPr>
        <w:t>合适</w:t>
      </w:r>
      <w:r>
        <w:rPr>
          <w:color w:val="FF0000"/>
          <w:kern w:val="0"/>
          <w:highlight w:val="none"/>
          <w:u w:val="single"/>
        </w:rPr>
        <w:t>的</w:t>
      </w:r>
      <w:r>
        <w:rPr>
          <w:rFonts w:hint="eastAsia"/>
          <w:color w:val="FF0000"/>
          <w:kern w:val="0"/>
          <w:highlight w:val="none"/>
          <w:u w:val="single"/>
        </w:rPr>
        <w:t>情况</w:t>
      </w:r>
      <w:r>
        <w:rPr>
          <w:color w:val="FF0000"/>
          <w:kern w:val="0"/>
          <w:highlight w:val="none"/>
          <w:u w:val="single"/>
        </w:rPr>
        <w:t>下进行检查和维护</w:t>
      </w:r>
      <w:r>
        <w:rPr>
          <w:rStyle w:val="60"/>
          <w:color w:val="FF0000"/>
          <w:kern w:val="0"/>
          <w:highlight w:val="none"/>
          <w:u w:val="single"/>
        </w:rPr>
        <w:footnoteReference w:id="3"/>
      </w:r>
      <w:r>
        <w:rPr>
          <w:rFonts w:hint="eastAsia"/>
          <w:color w:val="FF0000"/>
          <w:kern w:val="0"/>
          <w:highlight w:val="none"/>
          <w:u w:val="single"/>
        </w:rPr>
        <w:t>。</w:t>
      </w:r>
      <w:r>
        <w:rPr>
          <w:rFonts w:hint="eastAsia"/>
          <w:color w:val="auto"/>
          <w:kern w:val="0"/>
          <w:highlight w:val="none"/>
          <w:u w:val="none"/>
        </w:rPr>
        <w:t>”</w:t>
      </w:r>
    </w:p>
    <w:p>
      <w:pPr>
        <w:pStyle w:val="24"/>
        <w:ind w:firstLine="420"/>
        <w:rPr>
          <w:rFonts w:ascii="Times New Roman" w:hAnsi="Times New Roman"/>
          <w:strike/>
          <w:dstrike w:val="0"/>
          <w:color w:val="auto"/>
        </w:rPr>
      </w:pPr>
      <w:r>
        <w:rPr>
          <w:rFonts w:hint="eastAsia" w:ascii="Times New Roman" w:hAnsi="Times New Roman"/>
          <w:strike/>
          <w:dstrike w:val="0"/>
          <w:color w:val="auto"/>
        </w:rPr>
        <w:t>1</w:t>
      </w:r>
      <w:r>
        <w:rPr>
          <w:rFonts w:ascii="Times New Roman" w:hAnsi="Times New Roman"/>
          <w:strike/>
          <w:dstrike w:val="0"/>
          <w:color w:val="auto"/>
        </w:rPr>
        <w:t>　</w:t>
      </w:r>
      <w:r>
        <w:rPr>
          <w:rFonts w:hint="eastAsia" w:ascii="Times New Roman" w:hAnsi="Times New Roman"/>
          <w:strike/>
          <w:dstrike w:val="0"/>
          <w:color w:val="auto"/>
        </w:rPr>
        <w:t>本条适用于 2007 年1 月1 日或以后建造的船舶，但不适用于按照第3-4条规定配备的应急拖航装置。</w:t>
      </w:r>
    </w:p>
    <w:p>
      <w:pPr>
        <w:pStyle w:val="24"/>
        <w:ind w:firstLine="420"/>
        <w:rPr>
          <w:rFonts w:hint="eastAsia" w:ascii="Times New Roman" w:hAnsi="Times New Roman"/>
          <w:strike/>
          <w:dstrike w:val="0"/>
          <w:color w:val="auto"/>
        </w:rPr>
      </w:pPr>
      <w:r>
        <w:rPr>
          <w:rFonts w:hint="eastAsia" w:ascii="Times New Roman" w:hAnsi="Times New Roman"/>
          <w:strike/>
          <w:dstrike w:val="0"/>
          <w:color w:val="auto"/>
        </w:rPr>
        <w:t>2</w:t>
      </w:r>
      <w:r>
        <w:rPr>
          <w:rFonts w:ascii="Times New Roman" w:hAnsi="Times New Roman"/>
          <w:strike/>
          <w:dstrike w:val="0"/>
          <w:color w:val="auto"/>
        </w:rPr>
        <w:t>　</w:t>
      </w:r>
      <w:r>
        <w:rPr>
          <w:rFonts w:hint="eastAsia" w:ascii="Times New Roman" w:hAnsi="Times New Roman"/>
          <w:strike/>
          <w:dstrike w:val="0"/>
          <w:color w:val="auto"/>
        </w:rPr>
        <w:t>船舶应配备足够安全负荷的装置、设备和备件，能够进行各种与船舶正常作业相关的拖航和系泊作业。</w:t>
      </w:r>
    </w:p>
    <w:p>
      <w:pPr>
        <w:pStyle w:val="24"/>
        <w:ind w:firstLine="420"/>
        <w:rPr>
          <w:rFonts w:hint="eastAsia" w:ascii="Times New Roman" w:hAnsi="Times New Roman"/>
          <w:strike/>
          <w:dstrike w:val="0"/>
          <w:color w:val="auto"/>
        </w:rPr>
      </w:pPr>
      <w:r>
        <w:rPr>
          <w:rFonts w:hint="eastAsia" w:ascii="Times New Roman" w:hAnsi="Times New Roman"/>
          <w:strike/>
          <w:dstrike w:val="0"/>
          <w:color w:val="auto"/>
        </w:rPr>
        <w:t>3</w:t>
      </w:r>
      <w:r>
        <w:rPr>
          <w:rFonts w:ascii="Times New Roman" w:hAnsi="Times New Roman"/>
          <w:strike/>
          <w:dstrike w:val="0"/>
          <w:color w:val="auto"/>
        </w:rPr>
        <w:t>　</w:t>
      </w:r>
      <w:r>
        <w:rPr>
          <w:rFonts w:hint="eastAsia" w:ascii="Times New Roman" w:hAnsi="Times New Roman"/>
          <w:strike/>
          <w:dstrike w:val="0"/>
          <w:color w:val="auto"/>
        </w:rPr>
        <w:t>按照本条2配备的装置、设备和备件，应满足主管机关或主管机关按第I/6 条认可的组织的要求</w:t>
      </w:r>
      <w:r>
        <w:rPr>
          <w:rStyle w:val="60"/>
          <w:rFonts w:ascii="Times New Roman" w:hAnsi="Times New Roman"/>
          <w:strike/>
          <w:dstrike w:val="0"/>
          <w:color w:val="auto"/>
        </w:rPr>
        <w:footnoteReference w:id="4"/>
      </w:r>
      <w:r>
        <w:rPr>
          <w:rFonts w:hint="eastAsia" w:ascii="Times New Roman" w:hAnsi="Times New Roman"/>
          <w:strike/>
          <w:dstrike w:val="0"/>
          <w:color w:val="auto"/>
        </w:rPr>
        <w:t>。</w:t>
      </w:r>
    </w:p>
    <w:p>
      <w:pPr>
        <w:pStyle w:val="24"/>
        <w:tabs>
          <w:tab w:val="left" w:pos="924"/>
        </w:tabs>
        <w:ind w:firstLine="420" w:firstLineChars="200"/>
        <w:rPr>
          <w:rFonts w:hint="eastAsia" w:ascii="楷体" w:hAnsi="楷体" w:eastAsia="楷体"/>
          <w:strike/>
          <w:dstrike w:val="0"/>
          <w:color w:val="auto"/>
          <w:highlight w:val="none"/>
          <w:u w:val="none"/>
        </w:rPr>
      </w:pPr>
      <w:r>
        <w:rPr>
          <w:rFonts w:hint="eastAsia" w:ascii="Times New Roman" w:hAnsi="Times New Roman"/>
          <w:strike/>
          <w:dstrike w:val="0"/>
          <w:color w:val="auto"/>
        </w:rPr>
        <w:t>4</w:t>
      </w:r>
      <w:r>
        <w:rPr>
          <w:rFonts w:ascii="Times New Roman" w:hAnsi="Times New Roman"/>
          <w:strike/>
          <w:dstrike w:val="0"/>
          <w:color w:val="auto"/>
        </w:rPr>
        <w:t>　</w:t>
      </w:r>
      <w:r>
        <w:rPr>
          <w:rFonts w:hint="eastAsia" w:ascii="Times New Roman" w:hAnsi="Times New Roman"/>
          <w:strike/>
          <w:dstrike w:val="0"/>
          <w:color w:val="auto"/>
        </w:rPr>
        <w:t>本条配备的每一种配件或各项设备，应清楚第标明与其安全操作相关的任何限制，并考虑其给船舶结构带来的强度。</w:t>
      </w:r>
    </w:p>
    <w:p>
      <w:pPr>
        <w:tabs>
          <w:tab w:val="left" w:pos="426"/>
        </w:tabs>
        <w:autoSpaceDE w:val="0"/>
        <w:autoSpaceDN w:val="0"/>
        <w:adjustRightInd w:val="0"/>
        <w:ind w:firstLine="420"/>
        <w:jc w:val="left"/>
        <w:rPr>
          <w:rFonts w:ascii="Times New Roman" w:hAnsi="Times New Roman"/>
          <w:kern w:val="0"/>
          <w:highlight w:val="none"/>
        </w:rPr>
      </w:pPr>
    </w:p>
    <w:p>
      <w:pPr>
        <w:tabs>
          <w:tab w:val="left" w:pos="426"/>
        </w:tabs>
        <w:autoSpaceDE w:val="0"/>
        <w:autoSpaceDN w:val="0"/>
        <w:adjustRightInd w:val="0"/>
        <w:ind w:firstLine="420"/>
        <w:jc w:val="left"/>
        <w:rPr>
          <w:rFonts w:ascii="Times New Roman" w:hAnsi="Times New Roman"/>
          <w:kern w:val="0"/>
          <w:highlight w:val="none"/>
        </w:rPr>
      </w:pPr>
    </w:p>
    <w:p>
      <w:pPr>
        <w:tabs>
          <w:tab w:val="left" w:pos="426"/>
        </w:tabs>
        <w:autoSpaceDE w:val="0"/>
        <w:autoSpaceDN w:val="0"/>
        <w:adjustRightInd w:val="0"/>
        <w:ind w:firstLine="420"/>
        <w:jc w:val="left"/>
        <w:rPr>
          <w:rFonts w:ascii="Times New Roman" w:hAnsi="Times New Roman"/>
          <w:kern w:val="0"/>
          <w:highlight w:val="none"/>
        </w:rPr>
      </w:pPr>
    </w:p>
    <w:p>
      <w:pPr>
        <w:tabs>
          <w:tab w:val="left" w:pos="426"/>
        </w:tabs>
        <w:autoSpaceDE w:val="0"/>
        <w:autoSpaceDN w:val="0"/>
        <w:adjustRightInd w:val="0"/>
        <w:ind w:firstLine="420"/>
        <w:jc w:val="left"/>
        <w:rPr>
          <w:rFonts w:ascii="Times New Roman" w:hAnsi="Times New Roman"/>
          <w:kern w:val="0"/>
          <w:highlight w:val="none"/>
        </w:rPr>
      </w:pPr>
    </w:p>
    <w:p>
      <w:pPr>
        <w:tabs>
          <w:tab w:val="left" w:pos="426"/>
        </w:tabs>
        <w:autoSpaceDE w:val="0"/>
        <w:autoSpaceDN w:val="0"/>
        <w:adjustRightInd w:val="0"/>
        <w:ind w:firstLine="420"/>
        <w:jc w:val="left"/>
        <w:rPr>
          <w:rFonts w:ascii="Times New Roman" w:hAnsi="Times New Roman"/>
          <w:kern w:val="0"/>
          <w:highlight w:val="none"/>
        </w:rPr>
      </w:pPr>
    </w:p>
    <w:p>
      <w:pPr>
        <w:tabs>
          <w:tab w:val="left" w:pos="426"/>
        </w:tabs>
        <w:autoSpaceDE w:val="0"/>
        <w:autoSpaceDN w:val="0"/>
        <w:adjustRightInd w:val="0"/>
        <w:ind w:firstLine="420"/>
        <w:jc w:val="left"/>
        <w:rPr>
          <w:rFonts w:ascii="Times New Roman" w:hAnsi="Times New Roman"/>
          <w:kern w:val="0"/>
          <w:highlight w:val="none"/>
        </w:rPr>
      </w:pPr>
    </w:p>
    <w:p>
      <w:pPr>
        <w:pStyle w:val="3"/>
        <w:keepNext w:val="0"/>
        <w:keepLines w:val="0"/>
        <w:pageBreakBefore w:val="0"/>
        <w:widowControl/>
        <w:kinsoku/>
        <w:wordWrap/>
        <w:overflowPunct/>
        <w:topLinePunct w:val="0"/>
        <w:autoSpaceDE/>
        <w:autoSpaceDN/>
        <w:bidi w:val="0"/>
        <w:adjustRightInd/>
        <w:snapToGrid/>
        <w:ind w:left="0"/>
        <w:jc w:val="center"/>
        <w:textAlignment w:val="auto"/>
        <w:rPr>
          <w:rFonts w:ascii="宋体" w:hAnsi="宋体"/>
          <w:b w:val="0"/>
          <w:kern w:val="2"/>
          <w:sz w:val="28"/>
          <w:szCs w:val="28"/>
          <w:highlight w:val="none"/>
        </w:rPr>
      </w:pPr>
      <w:bookmarkStart w:id="15" w:name="_Toc14619"/>
      <w:bookmarkStart w:id="16" w:name="_Toc521938869"/>
      <w:r>
        <w:rPr>
          <w:rFonts w:hint="default" w:ascii="Times New Roman" w:hAnsi="Times New Roman" w:cs="Times New Roman"/>
          <w:bCs w:val="0"/>
          <w:caps w:val="0"/>
          <w:kern w:val="2"/>
          <w:sz w:val="28"/>
          <w:szCs w:val="28"/>
          <w:highlight w:val="none"/>
          <w:lang w:val="en-US"/>
        </w:rPr>
        <w:t>B-1部分 稳性</w:t>
      </w:r>
      <w:bookmarkEnd w:id="15"/>
      <w:bookmarkEnd w:id="16"/>
      <w:r>
        <w:rPr>
          <w:rFonts w:ascii="宋体" w:hAnsi="宋体" w:cstheme="minorBidi"/>
          <w:bCs w:val="0"/>
          <w:caps w:val="0"/>
          <w:kern w:val="2"/>
          <w:sz w:val="28"/>
          <w:szCs w:val="28"/>
          <w:highlight w:val="none"/>
          <w:lang w:val="en-US"/>
        </w:rPr>
        <w:t xml:space="preserve"> </w:t>
      </w:r>
    </w:p>
    <w:p>
      <w:pPr>
        <w:pStyle w:val="4"/>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outlineLvl w:val="2"/>
        <w:rPr>
          <w:rFonts w:ascii="Times New Roman" w:hAnsi="Times New Roman"/>
          <w:kern w:val="0"/>
          <w:highlight w:val="none"/>
        </w:rPr>
      </w:pPr>
      <w:bookmarkStart w:id="17" w:name="_Toc521938875"/>
      <w:bookmarkStart w:id="18" w:name="_Toc32758"/>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7-2</w:t>
      </w:r>
      <w:r>
        <w:rPr>
          <w:rFonts w:hint="eastAsia" w:ascii="Times New Roman" w:hAnsi="Times New Roman" w:cstheme="minorBidi"/>
          <w:bCs w:val="0"/>
          <w:caps w:val="0"/>
          <w:kern w:val="0"/>
          <w:sz w:val="21"/>
          <w:szCs w:val="21"/>
          <w:highlight w:val="none"/>
          <w:lang w:val="en-US"/>
        </w:rPr>
        <w:t>条</w:t>
      </w:r>
      <w:r>
        <w:rPr>
          <w:rFonts w:ascii="Times New Roman" w:hAnsi="Times New Roman" w:cstheme="minorBidi"/>
          <w:bCs w:val="0"/>
          <w:caps w:val="0"/>
          <w:kern w:val="0"/>
          <w:sz w:val="21"/>
          <w:szCs w:val="21"/>
          <w:highlight w:val="none"/>
          <w:lang w:val="en-US"/>
        </w:rPr>
        <w:t xml:space="preserve"> </w:t>
      </w:r>
      <w:r>
        <w:rPr>
          <w:rFonts w:hint="eastAsia" w:ascii="Times New Roman" w:hAnsi="Times New Roman" w:cstheme="minorBidi"/>
          <w:bCs w:val="0"/>
          <w:caps w:val="0"/>
          <w:kern w:val="0"/>
          <w:sz w:val="21"/>
          <w:szCs w:val="21"/>
          <w:highlight w:val="none"/>
          <w:lang w:val="en-US"/>
        </w:rPr>
        <w:t>因数</w:t>
      </w:r>
      <w:r>
        <w:rPr>
          <w:rFonts w:ascii="Times New Roman" w:hAnsi="Times New Roman" w:cstheme="minorBidi"/>
          <w:bCs w:val="0"/>
          <w:i/>
          <w:caps w:val="0"/>
          <w:kern w:val="0"/>
          <w:sz w:val="21"/>
          <w:szCs w:val="21"/>
          <w:highlight w:val="none"/>
          <w:lang w:val="en-US"/>
        </w:rPr>
        <w:t>s</w:t>
      </w:r>
      <w:r>
        <w:rPr>
          <w:rFonts w:ascii="Times New Roman" w:hAnsi="Times New Roman" w:cstheme="minorBidi"/>
          <w:bCs w:val="0"/>
          <w:i/>
          <w:caps w:val="0"/>
          <w:kern w:val="0"/>
          <w:sz w:val="21"/>
          <w:szCs w:val="21"/>
          <w:highlight w:val="none"/>
          <w:vertAlign w:val="subscript"/>
          <w:lang w:val="en-US"/>
        </w:rPr>
        <w:t>i</w:t>
      </w:r>
      <w:r>
        <w:rPr>
          <w:rFonts w:hint="eastAsia" w:ascii="Times New Roman" w:hAnsi="Times New Roman" w:cstheme="minorBidi"/>
          <w:bCs w:val="0"/>
          <w:caps w:val="0"/>
          <w:kern w:val="0"/>
          <w:sz w:val="21"/>
          <w:szCs w:val="21"/>
          <w:highlight w:val="none"/>
          <w:lang w:val="en-US"/>
        </w:rPr>
        <w:t>的计算</w:t>
      </w:r>
      <w:bookmarkEnd w:id="17"/>
      <w:bookmarkEnd w:id="18"/>
    </w:p>
    <w:p>
      <w:pPr>
        <w:autoSpaceDE w:val="0"/>
        <w:autoSpaceDN w:val="0"/>
        <w:adjustRightInd w:val="0"/>
        <w:ind w:left="1050" w:leftChars="200" w:hanging="630" w:hangingChars="300"/>
        <w:rPr>
          <w:rFonts w:hint="eastAsia" w:ascii="楷体_GB2312" w:eastAsia="楷体_GB2312"/>
          <w:highlight w:val="none"/>
        </w:rPr>
      </w:pPr>
    </w:p>
    <w:p>
      <w:pPr>
        <w:autoSpaceDE w:val="0"/>
        <w:autoSpaceDN w:val="0"/>
        <w:adjustRightInd w:val="0"/>
        <w:ind w:firstLine="420" w:firstLineChars="200"/>
        <w:jc w:val="left"/>
        <w:rPr>
          <w:rFonts w:hint="eastAsia" w:ascii="楷体" w:hAnsi="楷体" w:eastAsia="楷体"/>
          <w:color w:val="auto"/>
          <w:kern w:val="0"/>
          <w:highlight w:val="none"/>
          <w:u w:val="none"/>
        </w:rPr>
      </w:pPr>
    </w:p>
    <w:p>
      <w:pPr>
        <w:autoSpaceDE w:val="0"/>
        <w:autoSpaceDN w:val="0"/>
        <w:adjustRightInd w:val="0"/>
        <w:ind w:firstLine="420" w:firstLineChars="200"/>
        <w:jc w:val="left"/>
        <w:rPr>
          <w:rFonts w:ascii="楷体" w:hAnsi="楷体" w:eastAsia="楷体"/>
          <w:color w:val="auto"/>
          <w:kern w:val="0"/>
          <w:highlight w:val="none"/>
          <w:u w:val="none"/>
        </w:rPr>
      </w:pPr>
      <w:r>
        <w:rPr>
          <w:rFonts w:hint="eastAsia" w:ascii="楷体" w:hAnsi="楷体" w:eastAsia="楷体"/>
          <w:color w:val="auto"/>
          <w:kern w:val="0"/>
          <w:highlight w:val="none"/>
          <w:u w:val="none"/>
        </w:rPr>
        <w:t>自2024年1月1日起，</w:t>
      </w:r>
      <w:r>
        <w:rPr>
          <w:rFonts w:hint="eastAsia" w:ascii="楷体" w:hAnsi="楷体" w:eastAsia="楷体"/>
          <w:color w:val="auto"/>
          <w:kern w:val="0"/>
          <w:highlight w:val="none"/>
          <w:u w:val="none"/>
          <w:lang w:val="en-US" w:eastAsia="zh-CN"/>
        </w:rPr>
        <w:t>原</w:t>
      </w:r>
      <w:r>
        <w:rPr>
          <w:rFonts w:hint="eastAsia" w:ascii="楷体" w:hAnsi="楷体" w:eastAsia="楷体"/>
          <w:color w:val="auto"/>
          <w:kern w:val="0"/>
          <w:highlight w:val="none"/>
          <w:u w:val="none"/>
        </w:rPr>
        <w:t>5.2</w:t>
      </w:r>
      <w:r>
        <w:rPr>
          <w:rFonts w:hint="eastAsia" w:ascii="楷体" w:hAnsi="楷体" w:eastAsia="楷体"/>
          <w:color w:val="auto"/>
          <w:kern w:val="0"/>
          <w:highlight w:val="none"/>
          <w:u w:val="none"/>
          <w:lang w:eastAsia="zh-CN"/>
        </w:rPr>
        <w:t>、</w:t>
      </w:r>
      <w:r>
        <w:rPr>
          <w:rFonts w:hint="eastAsia" w:ascii="楷体" w:hAnsi="楷体" w:eastAsia="楷体"/>
          <w:color w:val="auto"/>
          <w:kern w:val="0"/>
          <w:highlight w:val="none"/>
          <w:u w:val="none"/>
        </w:rPr>
        <w:t>5.3</w:t>
      </w:r>
      <w:r>
        <w:rPr>
          <w:rFonts w:hint="eastAsia" w:ascii="楷体" w:hAnsi="楷体" w:eastAsia="楷体"/>
          <w:color w:val="auto"/>
          <w:kern w:val="0"/>
          <w:highlight w:val="none"/>
          <w:u w:val="none"/>
          <w:lang w:val="en-US" w:eastAsia="zh-CN"/>
        </w:rPr>
        <w:t>和5.5</w:t>
      </w:r>
      <w:r>
        <w:rPr>
          <w:rFonts w:hint="eastAsia" w:ascii="楷体" w:hAnsi="楷体" w:eastAsia="楷体"/>
          <w:color w:val="auto"/>
          <w:kern w:val="0"/>
          <w:highlight w:val="none"/>
          <w:u w:val="none"/>
          <w:lang w:eastAsia="zh-CN"/>
        </w:rPr>
        <w:t>改为</w:t>
      </w:r>
      <w:r>
        <w:rPr>
          <w:rFonts w:hint="eastAsia" w:ascii="楷体" w:hAnsi="楷体" w:eastAsia="楷体"/>
          <w:color w:val="auto"/>
          <w:kern w:val="0"/>
          <w:highlight w:val="none"/>
          <w:u w:val="none"/>
        </w:rPr>
        <w:t>：</w:t>
      </w:r>
    </w:p>
    <w:p>
      <w:pPr>
        <w:autoSpaceDE w:val="0"/>
        <w:autoSpaceDN w:val="0"/>
        <w:adjustRightInd w:val="0"/>
        <w:ind w:firstLine="630" w:firstLineChars="300"/>
        <w:jc w:val="left"/>
        <w:rPr>
          <w:rFonts w:ascii="Times New Roman" w:hAnsi="Times New Roman"/>
          <w:color w:val="FF0000"/>
          <w:highlight w:val="none"/>
          <w:u w:val="single"/>
        </w:rPr>
      </w:pPr>
      <w:r>
        <w:rPr>
          <w:rFonts w:hint="eastAsia" w:ascii="Times New Roman" w:hAnsi="Times New Roman"/>
          <w:bCs/>
          <w:color w:val="auto"/>
          <w:highlight w:val="none"/>
          <w:u w:val="none"/>
        </w:rPr>
        <w:t>“</w:t>
      </w:r>
      <w:r>
        <w:rPr>
          <w:rFonts w:ascii="Times New Roman" w:hAnsi="Times New Roman"/>
          <w:bCs/>
          <w:color w:val="FF0000"/>
          <w:highlight w:val="none"/>
          <w:u w:val="single"/>
        </w:rPr>
        <w:t>5.2</w:t>
      </w:r>
      <w:r>
        <w:rPr>
          <w:rFonts w:ascii="Times New Roman" w:hAnsi="Times New Roman"/>
          <w:color w:val="FF0000"/>
          <w:szCs w:val="21"/>
          <w:highlight w:val="none"/>
          <w:u w:val="single"/>
        </w:rPr>
        <w:t xml:space="preserve">  </w:t>
      </w:r>
      <w:r>
        <w:rPr>
          <w:rFonts w:ascii="Times New Roman" w:hAnsi="Times New Roman"/>
          <w:color w:val="FF0000"/>
          <w:highlight w:val="none"/>
          <w:u w:val="single"/>
        </w:rPr>
        <w:t>如计及下沉、横倾和纵倾后的最终水线浸没以下部位，则因数</w:t>
      </w:r>
      <w:r>
        <w:rPr>
          <w:rFonts w:ascii="Times New Roman" w:hAnsi="Times New Roman"/>
          <w:i/>
          <w:iCs/>
          <w:color w:val="FF0000"/>
          <w:highlight w:val="none"/>
          <w:u w:val="single"/>
        </w:rPr>
        <w:t>s</w:t>
      </w:r>
      <w:r>
        <w:rPr>
          <w:rFonts w:ascii="Times New Roman" w:hAnsi="Times New Roman"/>
          <w:i/>
          <w:iCs/>
          <w:color w:val="FF0000"/>
          <w:highlight w:val="none"/>
          <w:u w:val="single"/>
          <w:vertAlign w:val="subscript"/>
        </w:rPr>
        <w:t>i</w:t>
      </w:r>
      <w:r>
        <w:rPr>
          <w:rFonts w:ascii="Times New Roman" w:hAnsi="Times New Roman"/>
          <w:color w:val="FF0000"/>
          <w:highlight w:val="none"/>
          <w:u w:val="single"/>
        </w:rPr>
        <w:t>取为零：</w:t>
      </w:r>
    </w:p>
    <w:p>
      <w:pPr>
        <w:ind w:left="1260" w:leftChars="400" w:hanging="420" w:hangingChars="200"/>
        <w:rPr>
          <w:rFonts w:ascii="Times New Roman" w:hAnsi="Times New Roman"/>
          <w:color w:val="FF0000"/>
          <w:highlight w:val="none"/>
          <w:u w:val="single"/>
        </w:rPr>
      </w:pPr>
      <w:r>
        <w:rPr>
          <w:rFonts w:ascii="Times New Roman" w:hAnsi="Times New Roman"/>
          <w:bCs/>
          <w:color w:val="FF0000"/>
          <w:highlight w:val="none"/>
          <w:u w:val="single"/>
        </w:rPr>
        <w:t>.1</w:t>
      </w:r>
      <w:r>
        <w:rPr>
          <w:rFonts w:ascii="Times New Roman" w:hAnsi="Times New Roman"/>
          <w:color w:val="FF0000"/>
          <w:szCs w:val="21"/>
          <w:highlight w:val="none"/>
          <w:u w:val="single"/>
        </w:rPr>
        <w:t xml:space="preserve">  </w:t>
      </w:r>
      <w:r>
        <w:rPr>
          <w:rFonts w:ascii="Times New Roman" w:hAnsi="Times New Roman"/>
          <w:color w:val="FF0000"/>
          <w:highlight w:val="none"/>
          <w:u w:val="single"/>
        </w:rPr>
        <w:t>对于货船，某些开口的下缘，通过这些开口可能发生累进浸水，而这种浸水在计算因数</w:t>
      </w:r>
      <w:r>
        <w:rPr>
          <w:rFonts w:ascii="Times New Roman" w:hAnsi="Times New Roman"/>
          <w:i/>
          <w:iCs/>
          <w:color w:val="FF0000"/>
          <w:highlight w:val="none"/>
          <w:u w:val="single"/>
        </w:rPr>
        <w:t>s</w:t>
      </w:r>
      <w:r>
        <w:rPr>
          <w:rFonts w:ascii="Times New Roman" w:hAnsi="Times New Roman"/>
          <w:i/>
          <w:iCs/>
          <w:color w:val="FF0000"/>
          <w:highlight w:val="none"/>
          <w:u w:val="single"/>
          <w:vertAlign w:val="subscript"/>
        </w:rPr>
        <w:t>i</w:t>
      </w:r>
      <w:r>
        <w:rPr>
          <w:rFonts w:ascii="Times New Roman" w:hAnsi="Times New Roman"/>
          <w:color w:val="FF0000"/>
          <w:highlight w:val="none"/>
          <w:u w:val="single"/>
        </w:rPr>
        <w:t>时不予考虑。这些开口应包括空气管、通风筒和用风雨密门或舱口盖关闭的开口；</w:t>
      </w:r>
    </w:p>
    <w:p>
      <w:pPr>
        <w:ind w:firstLine="840" w:firstLineChars="400"/>
        <w:rPr>
          <w:rFonts w:ascii="Times New Roman" w:hAnsi="Times New Roman"/>
          <w:color w:val="FF0000"/>
          <w:highlight w:val="none"/>
          <w:u w:val="single"/>
        </w:rPr>
      </w:pPr>
      <w:r>
        <w:rPr>
          <w:rFonts w:ascii="Times New Roman" w:hAnsi="Times New Roman"/>
          <w:bCs/>
          <w:color w:val="FF0000"/>
          <w:highlight w:val="none"/>
          <w:u w:val="single"/>
        </w:rPr>
        <w:t>.2</w:t>
      </w:r>
      <w:r>
        <w:rPr>
          <w:rFonts w:ascii="Times New Roman" w:hAnsi="Times New Roman"/>
          <w:color w:val="FF0000"/>
          <w:szCs w:val="21"/>
          <w:highlight w:val="none"/>
          <w:u w:val="single"/>
        </w:rPr>
        <w:t xml:space="preserve">  </w:t>
      </w:r>
      <w:r>
        <w:rPr>
          <w:rFonts w:ascii="Times New Roman" w:hAnsi="Times New Roman"/>
          <w:color w:val="FF0000"/>
          <w:highlight w:val="none"/>
          <w:u w:val="single"/>
        </w:rPr>
        <w:t>客船中为符合II-2章要求而视为水平撤离通道的舱壁甲板任何部分；和</w:t>
      </w:r>
    </w:p>
    <w:p>
      <w:pPr>
        <w:adjustRightInd w:val="0"/>
        <w:ind w:left="1260" w:leftChars="400" w:hanging="420" w:hangingChars="200"/>
        <w:rPr>
          <w:rFonts w:ascii="Times New Roman" w:hAnsi="Times New Roman"/>
          <w:color w:val="FF0000"/>
          <w:highlight w:val="none"/>
          <w:u w:val="single"/>
        </w:rPr>
      </w:pPr>
      <w:r>
        <w:rPr>
          <w:rFonts w:ascii="Times New Roman" w:hAnsi="Times New Roman"/>
          <w:bCs/>
          <w:color w:val="FF0000"/>
          <w:highlight w:val="none"/>
          <w:u w:val="single"/>
        </w:rPr>
        <w:t>.3</w:t>
      </w:r>
      <w:r>
        <w:rPr>
          <w:rFonts w:ascii="Times New Roman" w:hAnsi="Times New Roman"/>
          <w:color w:val="FF0000"/>
          <w:szCs w:val="21"/>
          <w:highlight w:val="none"/>
          <w:u w:val="single"/>
        </w:rPr>
        <w:t xml:space="preserve">  </w:t>
      </w:r>
      <w:r>
        <w:rPr>
          <w:rFonts w:ascii="Times New Roman" w:hAnsi="Times New Roman"/>
          <w:color w:val="FF0000"/>
          <w:highlight w:val="none"/>
          <w:u w:val="single"/>
        </w:rPr>
        <w:t>对于受第1.1.1.1条规定约束以及在2024年1月1日以前建造的客船，某些开口的下缘，通过这些开口可能发生累进浸水，而这种浸水在计算因数</w:t>
      </w:r>
      <w:r>
        <w:rPr>
          <w:rFonts w:ascii="Times New Roman" w:hAnsi="Times New Roman"/>
          <w:i/>
          <w:iCs/>
          <w:color w:val="FF0000"/>
          <w:highlight w:val="none"/>
          <w:u w:val="single"/>
        </w:rPr>
        <w:t>s</w:t>
      </w:r>
      <w:r>
        <w:rPr>
          <w:rFonts w:ascii="Times New Roman" w:hAnsi="Times New Roman"/>
          <w:i/>
          <w:iCs/>
          <w:color w:val="FF0000"/>
          <w:highlight w:val="none"/>
          <w:u w:val="single"/>
          <w:vertAlign w:val="subscript"/>
        </w:rPr>
        <w:t>i</w:t>
      </w:r>
      <w:r>
        <w:rPr>
          <w:rFonts w:ascii="Times New Roman" w:hAnsi="Times New Roman"/>
          <w:color w:val="FF0000"/>
          <w:highlight w:val="none"/>
          <w:u w:val="single"/>
        </w:rPr>
        <w:t>时不予考虑。这些开口应包括空气管、通风筒和用风雨密门或舱口盖关闭的开口。</w:t>
      </w:r>
    </w:p>
    <w:p>
      <w:pPr>
        <w:ind w:firstLine="420" w:firstLineChars="200"/>
        <w:rPr>
          <w:rFonts w:ascii="Times New Roman" w:hAnsi="Times New Roman"/>
          <w:color w:val="FF0000"/>
          <w:highlight w:val="none"/>
          <w:u w:val="single"/>
        </w:rPr>
      </w:pPr>
      <w:r>
        <w:rPr>
          <w:rFonts w:ascii="Times New Roman" w:hAnsi="Times New Roman"/>
          <w:bCs/>
          <w:color w:val="FF0000"/>
          <w:highlight w:val="none"/>
          <w:u w:val="single"/>
        </w:rPr>
        <w:t>5.3</w:t>
      </w:r>
      <w:r>
        <w:rPr>
          <w:rFonts w:ascii="Times New Roman" w:hAnsi="Times New Roman"/>
          <w:color w:val="FF0000"/>
          <w:szCs w:val="21"/>
          <w:highlight w:val="none"/>
          <w:u w:val="single"/>
        </w:rPr>
        <w:t xml:space="preserve">  </w:t>
      </w:r>
      <w:r>
        <w:rPr>
          <w:rFonts w:ascii="Times New Roman" w:hAnsi="Times New Roman"/>
          <w:color w:val="FF0000"/>
          <w:highlight w:val="none"/>
          <w:u w:val="single"/>
        </w:rPr>
        <w:t>如计及下沉、横倾和纵倾后，在浸水的任何中间阶段或最终阶段发生以下任一情况，则因数</w:t>
      </w:r>
      <w:r>
        <w:rPr>
          <w:rFonts w:ascii="Times New Roman" w:hAnsi="Times New Roman"/>
          <w:i/>
          <w:iCs/>
          <w:color w:val="FF0000"/>
          <w:highlight w:val="none"/>
          <w:u w:val="single"/>
        </w:rPr>
        <w:t>s</w:t>
      </w:r>
      <w:r>
        <w:rPr>
          <w:rFonts w:ascii="Times New Roman" w:hAnsi="Times New Roman"/>
          <w:i/>
          <w:iCs/>
          <w:color w:val="FF0000"/>
          <w:highlight w:val="none"/>
          <w:u w:val="single"/>
          <w:vertAlign w:val="subscript"/>
        </w:rPr>
        <w:t>i</w:t>
      </w:r>
      <w:r>
        <w:rPr>
          <w:rFonts w:ascii="Times New Roman" w:hAnsi="Times New Roman"/>
          <w:color w:val="FF0000"/>
          <w:highlight w:val="none"/>
          <w:u w:val="single"/>
        </w:rPr>
        <w:t>取为零：</w:t>
      </w:r>
    </w:p>
    <w:p>
      <w:pPr>
        <w:ind w:left="1260" w:leftChars="400" w:hanging="420" w:hangingChars="200"/>
        <w:rPr>
          <w:rFonts w:ascii="Times New Roman" w:hAnsi="Times New Roman"/>
          <w:color w:val="FF0000"/>
          <w:highlight w:val="none"/>
          <w:u w:val="single"/>
        </w:rPr>
      </w:pPr>
      <w:r>
        <w:rPr>
          <w:rFonts w:ascii="Times New Roman" w:hAnsi="Times New Roman"/>
          <w:bCs/>
          <w:color w:val="FF0000"/>
          <w:highlight w:val="none"/>
          <w:u w:val="single"/>
        </w:rPr>
        <w:t>.1</w:t>
      </w:r>
      <w:r>
        <w:rPr>
          <w:rFonts w:ascii="Times New Roman" w:hAnsi="Times New Roman"/>
          <w:color w:val="FF0000"/>
          <w:szCs w:val="21"/>
          <w:highlight w:val="none"/>
          <w:u w:val="single"/>
        </w:rPr>
        <w:t xml:space="preserve">  </w:t>
      </w:r>
      <w:r>
        <w:rPr>
          <w:rFonts w:ascii="Times New Roman" w:hAnsi="Times New Roman"/>
          <w:color w:val="FF0000"/>
          <w:kern w:val="0"/>
          <w:highlight w:val="none"/>
          <w:u w:val="single"/>
        </w:rPr>
        <w:t>用于符合第II-2章要求的客船舱壁甲板和货船干舷甲板任何垂向逃生舱口被水浸没</w:t>
      </w:r>
      <w:r>
        <w:rPr>
          <w:rFonts w:ascii="Times New Roman" w:hAnsi="Times New Roman"/>
          <w:color w:val="FF0000"/>
          <w:highlight w:val="none"/>
          <w:u w:val="single"/>
        </w:rPr>
        <w:t>；</w:t>
      </w:r>
    </w:p>
    <w:p>
      <w:pPr>
        <w:ind w:left="1260" w:leftChars="400" w:hanging="420" w:hangingChars="200"/>
        <w:rPr>
          <w:rFonts w:ascii="Times New Roman" w:hAnsi="Times New Roman"/>
          <w:bCs/>
          <w:color w:val="FF0000"/>
          <w:highlight w:val="none"/>
          <w:u w:val="single"/>
        </w:rPr>
      </w:pPr>
      <w:r>
        <w:rPr>
          <w:rFonts w:ascii="Times New Roman" w:hAnsi="Times New Roman"/>
          <w:bCs/>
          <w:color w:val="FF0000"/>
          <w:highlight w:val="none"/>
          <w:u w:val="single"/>
        </w:rPr>
        <w:t>.2</w:t>
      </w:r>
      <w:r>
        <w:rPr>
          <w:rFonts w:ascii="Times New Roman" w:hAnsi="Times New Roman"/>
          <w:color w:val="FF0000"/>
          <w:szCs w:val="21"/>
          <w:highlight w:val="none"/>
          <w:u w:val="single"/>
        </w:rPr>
        <w:t xml:space="preserve">  </w:t>
      </w:r>
      <w:r>
        <w:rPr>
          <w:rFonts w:ascii="Times New Roman" w:hAnsi="Times New Roman"/>
          <w:color w:val="FF0000"/>
          <w:kern w:val="0"/>
          <w:highlight w:val="none"/>
          <w:u w:val="single"/>
        </w:rPr>
        <w:t>用于在客船舱壁甲板和货船干舷甲板以上操作水密门、平衡装置、保持水密舱壁完整性的管路阀或通风管道阀无法接近或无法操作</w:t>
      </w:r>
      <w:r>
        <w:rPr>
          <w:rFonts w:ascii="Times New Roman" w:hAnsi="Times New Roman"/>
          <w:color w:val="FF0000"/>
          <w:highlight w:val="none"/>
          <w:u w:val="single"/>
        </w:rPr>
        <w:t>；</w:t>
      </w:r>
    </w:p>
    <w:p>
      <w:pPr>
        <w:ind w:left="1260" w:leftChars="400" w:hanging="420" w:hangingChars="200"/>
        <w:rPr>
          <w:rFonts w:ascii="Times New Roman" w:hAnsi="Times New Roman"/>
          <w:color w:val="FF0000"/>
          <w:kern w:val="0"/>
          <w:highlight w:val="none"/>
          <w:u w:val="single"/>
        </w:rPr>
      </w:pPr>
      <w:r>
        <w:rPr>
          <w:rFonts w:ascii="Times New Roman" w:hAnsi="Times New Roman"/>
          <w:bCs/>
          <w:color w:val="FF0000"/>
          <w:highlight w:val="none"/>
          <w:u w:val="single"/>
        </w:rPr>
        <w:t>.3</w:t>
      </w:r>
      <w:r>
        <w:rPr>
          <w:rFonts w:ascii="Times New Roman" w:hAnsi="Times New Roman"/>
          <w:color w:val="FF0000"/>
          <w:szCs w:val="21"/>
          <w:highlight w:val="none"/>
          <w:u w:val="single"/>
        </w:rPr>
        <w:t xml:space="preserve">  </w:t>
      </w:r>
      <w:r>
        <w:rPr>
          <w:rFonts w:ascii="Times New Roman" w:hAnsi="Times New Roman"/>
          <w:color w:val="FF0000"/>
          <w:kern w:val="0"/>
          <w:highlight w:val="none"/>
          <w:u w:val="single"/>
        </w:rPr>
        <w:t>位于假定破损范围内且通过水密限界面的管路或通风管道的任何部分被水浸没（如能导致未被假定为</w:t>
      </w:r>
      <w:r>
        <w:rPr>
          <w:rFonts w:ascii="Times New Roman" w:hAnsi="Times New Roman"/>
          <w:color w:val="FF0000"/>
          <w:highlight w:val="none"/>
          <w:u w:val="single"/>
        </w:rPr>
        <w:t>浸</w:t>
      </w:r>
      <w:r>
        <w:rPr>
          <w:rFonts w:ascii="Times New Roman" w:hAnsi="Times New Roman"/>
          <w:color w:val="FF0000"/>
          <w:kern w:val="0"/>
          <w:highlight w:val="none"/>
          <w:u w:val="single"/>
        </w:rPr>
        <w:t>水舱室的累进</w:t>
      </w:r>
      <w:r>
        <w:rPr>
          <w:rFonts w:ascii="Times New Roman" w:hAnsi="Times New Roman"/>
          <w:color w:val="FF0000"/>
          <w:highlight w:val="none"/>
          <w:u w:val="single"/>
        </w:rPr>
        <w:t>浸</w:t>
      </w:r>
      <w:r>
        <w:rPr>
          <w:rFonts w:ascii="Times New Roman" w:hAnsi="Times New Roman"/>
          <w:color w:val="FF0000"/>
          <w:kern w:val="0"/>
          <w:highlight w:val="none"/>
          <w:u w:val="single"/>
        </w:rPr>
        <w:t>水）；和</w:t>
      </w:r>
    </w:p>
    <w:p>
      <w:pPr>
        <w:ind w:left="1252" w:leftChars="396" w:hanging="420" w:hangingChars="200"/>
        <w:rPr>
          <w:rFonts w:ascii="Times New Roman" w:hAnsi="Times New Roman"/>
          <w:color w:val="auto"/>
          <w:szCs w:val="21"/>
          <w:highlight w:val="none"/>
          <w:u w:val="none"/>
        </w:rPr>
      </w:pPr>
      <w:r>
        <w:rPr>
          <w:rFonts w:ascii="Times New Roman" w:hAnsi="Times New Roman"/>
          <w:bCs/>
          <w:color w:val="FF0000"/>
          <w:highlight w:val="none"/>
          <w:u w:val="single"/>
        </w:rPr>
        <w:t>.4</w:t>
      </w:r>
      <w:r>
        <w:rPr>
          <w:rFonts w:ascii="Times New Roman" w:hAnsi="Times New Roman"/>
          <w:color w:val="FF0000"/>
          <w:highlight w:val="none"/>
          <w:u w:val="single"/>
        </w:rPr>
        <w:t xml:space="preserve">  对于2024年1月1日或以后建造的客船，某些开口的下缘</w:t>
      </w:r>
      <w:r>
        <w:rPr>
          <w:rFonts w:ascii="Times New Roman" w:hAnsi="Times New Roman"/>
          <w:color w:val="FF0000"/>
          <w:kern w:val="0"/>
          <w:highlight w:val="none"/>
          <w:u w:val="single"/>
        </w:rPr>
        <w:t>被水浸没</w:t>
      </w:r>
      <w:r>
        <w:rPr>
          <w:rFonts w:ascii="Times New Roman" w:hAnsi="Times New Roman"/>
          <w:color w:val="FF0000"/>
          <w:highlight w:val="none"/>
          <w:u w:val="single"/>
        </w:rPr>
        <w:t>，通过这些开口可能发生累进浸水，而这种浸水在计算因数</w:t>
      </w:r>
      <w:r>
        <w:rPr>
          <w:rFonts w:ascii="Times New Roman" w:hAnsi="Times New Roman"/>
          <w:i/>
          <w:iCs/>
          <w:color w:val="FF0000"/>
          <w:highlight w:val="none"/>
          <w:u w:val="single"/>
        </w:rPr>
        <w:t>s</w:t>
      </w:r>
      <w:r>
        <w:rPr>
          <w:rFonts w:ascii="Times New Roman" w:hAnsi="Times New Roman"/>
          <w:i/>
          <w:iCs/>
          <w:color w:val="FF0000"/>
          <w:highlight w:val="none"/>
          <w:u w:val="single"/>
          <w:vertAlign w:val="subscript"/>
        </w:rPr>
        <w:t>i</w:t>
      </w:r>
      <w:r>
        <w:rPr>
          <w:rFonts w:ascii="Times New Roman" w:hAnsi="Times New Roman"/>
          <w:color w:val="FF0000"/>
          <w:highlight w:val="none"/>
          <w:u w:val="single"/>
        </w:rPr>
        <w:t>时不予考虑。这些开口应包括空气管、通风筒和用风雨密门或舱口盖关闭的开口。</w:t>
      </w:r>
    </w:p>
    <w:p>
      <w:pPr>
        <w:ind w:firstLine="420" w:firstLineChars="200"/>
        <w:rPr>
          <w:rFonts w:hint="eastAsia" w:ascii="Times New Roman" w:hAnsi="Times New Roman"/>
          <w:color w:val="auto"/>
          <w:highlight w:val="none"/>
          <w:u w:val="none"/>
        </w:rPr>
      </w:pPr>
      <w:r>
        <w:rPr>
          <w:rFonts w:hint="eastAsia" w:ascii="Times New Roman" w:hAnsi="Times New Roman"/>
          <w:color w:val="FF0000"/>
          <w:highlight w:val="none"/>
          <w:u w:val="single"/>
        </w:rPr>
        <w:t>5.5  除5.3.1的规定外，不必计及根据第22至24条用水密人孔盖和平面舱盖、遥控操作的滑动水密门、非打开型的舷窗关闭的开口以及要求在海上保持关闭的水密出入门和舱口盖。</w:t>
      </w:r>
      <w:r>
        <w:rPr>
          <w:rFonts w:hint="eastAsia" w:ascii="Times New Roman" w:hAnsi="Times New Roman"/>
          <w:color w:val="auto"/>
          <w:highlight w:val="none"/>
          <w:u w:val="none"/>
        </w:rPr>
        <w:t>”</w:t>
      </w:r>
    </w:p>
    <w:p>
      <w:pPr>
        <w:tabs>
          <w:tab w:val="left" w:pos="900"/>
        </w:tabs>
        <w:ind w:firstLine="420" w:firstLineChars="2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 xml:space="preserve">5.2  </w:t>
      </w:r>
      <w:r>
        <w:rPr>
          <w:rFonts w:ascii="Times New Roman" w:hAnsi="Times New Roman"/>
          <w:strike/>
          <w:dstrike w:val="0"/>
          <w:color w:val="auto"/>
          <w:kern w:val="0"/>
          <w:highlight w:val="none"/>
        </w:rPr>
        <w:t>如计及下沉、横倾和纵倾后的最终水线浸没以下部位，则因数</w:t>
      </w:r>
      <w:r>
        <w:rPr>
          <w:rFonts w:ascii="Times New Roman" w:hAnsi="Times New Roman"/>
          <w:i/>
          <w:iCs/>
          <w:strike/>
          <w:dstrike w:val="0"/>
          <w:color w:val="auto"/>
          <w:kern w:val="0"/>
          <w:highlight w:val="none"/>
        </w:rPr>
        <w:t>S</w:t>
      </w:r>
      <w:r>
        <w:rPr>
          <w:rFonts w:ascii="Times New Roman" w:hAnsi="Times New Roman"/>
          <w:i/>
          <w:iCs/>
          <w:strike/>
          <w:dstrike w:val="0"/>
          <w:color w:val="auto"/>
          <w:kern w:val="0"/>
          <w:highlight w:val="none"/>
          <w:vertAlign w:val="subscript"/>
        </w:rPr>
        <w:t>i</w:t>
      </w:r>
      <w:r>
        <w:rPr>
          <w:rFonts w:ascii="Times New Roman" w:hAnsi="Times New Roman"/>
          <w:strike/>
          <w:dstrike w:val="0"/>
          <w:color w:val="auto"/>
          <w:kern w:val="0"/>
          <w:highlight w:val="none"/>
        </w:rPr>
        <w:t>取为零</w:t>
      </w:r>
      <w:r>
        <w:rPr>
          <w:rFonts w:ascii="Times New Roman" w:hAnsi="Times New Roman"/>
          <w:strike/>
          <w:dstrike w:val="0"/>
          <w:color w:val="auto"/>
          <w:szCs w:val="21"/>
          <w:highlight w:val="none"/>
        </w:rPr>
        <w:t>：</w:t>
      </w:r>
    </w:p>
    <w:p>
      <w:pPr>
        <w:tabs>
          <w:tab w:val="left" w:pos="900"/>
        </w:tabs>
        <w:ind w:left="420" w:leftChars="200" w:firstLine="210" w:firstLineChars="1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.1 某些开口的下缘，通过这些开口可能发生累进浸水，而这种浸水在计算因数s时不予考虑。这些开口应包括空气管、通风筒和用风雨密门或舱口盖关闭的开口；和</w:t>
      </w:r>
    </w:p>
    <w:p>
      <w:pPr>
        <w:tabs>
          <w:tab w:val="left" w:pos="900"/>
        </w:tabs>
        <w:ind w:firstLine="630" w:firstLineChars="3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.2 客船中为符合2-2章要求而视为水平撤离通道的舱壁甲板任何部分。</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5.3　如计及下沉、横倾和纵倾后，在浸水的任何中间阶段或最终阶段发生以下任一情况，则因数</w:t>
      </w:r>
      <w:r>
        <w:rPr>
          <w:rFonts w:ascii="Times New Roman" w:hAnsi="Times New Roman"/>
          <w:i/>
          <w:iCs/>
          <w:strike/>
          <w:dstrike w:val="0"/>
          <w:color w:val="auto"/>
          <w:kern w:val="0"/>
          <w:highlight w:val="none"/>
        </w:rPr>
        <w:t>S</w:t>
      </w:r>
      <w:r>
        <w:rPr>
          <w:rFonts w:ascii="Times New Roman" w:hAnsi="Times New Roman"/>
          <w:i/>
          <w:iCs/>
          <w:strike/>
          <w:dstrike w:val="0"/>
          <w:color w:val="auto"/>
          <w:kern w:val="0"/>
          <w:highlight w:val="none"/>
          <w:vertAlign w:val="subscript"/>
        </w:rPr>
        <w:t>i</w:t>
      </w:r>
      <w:r>
        <w:rPr>
          <w:rFonts w:ascii="Times New Roman" w:hAnsi="Times New Roman"/>
          <w:strike/>
          <w:dstrike w:val="0"/>
          <w:color w:val="auto"/>
          <w:kern w:val="0"/>
          <w:highlight w:val="none"/>
        </w:rPr>
        <w:t>取为零：</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　用于符合第2-2章要求的客船舱壁甲板和货船干舷甲板任何垂向逃生舱口被水浸没；</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.2　用于在客船舱壁甲板和货船干舷甲板以上操作水密门、平衡装置、保持水密舱壁完整性的管路阀或通风管道阀无法接近或无法操作；和</w:t>
      </w:r>
    </w:p>
    <w:p>
      <w:pPr>
        <w:autoSpaceDE w:val="0"/>
        <w:autoSpaceDN w:val="0"/>
        <w:adjustRightInd w:val="0"/>
        <w:ind w:firstLine="420" w:firstLineChars="200"/>
        <w:jc w:val="left"/>
        <w:rPr>
          <w:rFonts w:hint="eastAsia" w:ascii="楷体" w:hAnsi="楷体" w:eastAsia="楷体"/>
          <w:strike/>
          <w:dstrike w:val="0"/>
          <w:color w:val="auto"/>
          <w:kern w:val="0"/>
          <w:highlight w:val="none"/>
          <w:u w:val="none"/>
        </w:rPr>
      </w:pPr>
      <w:r>
        <w:rPr>
          <w:rFonts w:ascii="Times New Roman" w:hAnsi="Times New Roman"/>
          <w:strike/>
          <w:dstrike w:val="0"/>
          <w:color w:val="auto"/>
          <w:kern w:val="0"/>
          <w:highlight w:val="none"/>
        </w:rPr>
        <w:t>.3　位于假定破损范围内且通过水密限界面的管路或通风管道的任何部分被水浸没（如能导致未被假定为浸水舱室的累进浸水）。</w:t>
      </w:r>
    </w:p>
    <w:p>
      <w:pPr>
        <w:autoSpaceDE w:val="0"/>
        <w:autoSpaceDN w:val="0"/>
        <w:adjustRightInd w:val="0"/>
        <w:ind w:firstLine="420" w:firstLineChars="200"/>
        <w:jc w:val="left"/>
        <w:rPr>
          <w:rFonts w:hint="eastAsia" w:ascii="楷体" w:hAnsi="楷体" w:eastAsia="楷体"/>
          <w:strike/>
          <w:dstrike w:val="0"/>
          <w:color w:val="auto"/>
          <w:kern w:val="0"/>
          <w:highlight w:val="none"/>
          <w:u w:val="none"/>
        </w:rPr>
      </w:pPr>
      <w:r>
        <w:rPr>
          <w:rFonts w:ascii="Times New Roman" w:hAnsi="Times New Roman"/>
          <w:strike/>
          <w:dstrike w:val="0"/>
          <w:color w:val="auto"/>
          <w:szCs w:val="21"/>
        </w:rPr>
        <w:t xml:space="preserve">5.5 </w:t>
      </w:r>
      <w:r>
        <w:rPr>
          <w:rFonts w:ascii="Times New Roman" w:hAnsi="Times New Roman"/>
          <w:strike/>
          <w:dstrike w:val="0"/>
          <w:color w:val="auto"/>
          <w:szCs w:val="21"/>
          <w:highlight w:val="none"/>
        </w:rPr>
        <w:t xml:space="preserve"> </w:t>
      </w:r>
      <w:r>
        <w:rPr>
          <w:rFonts w:ascii="Times New Roman" w:hAnsi="Times New Roman"/>
          <w:strike/>
          <w:dstrike w:val="0"/>
          <w:color w:val="auto"/>
          <w:kern w:val="0"/>
          <w:highlight w:val="none"/>
        </w:rPr>
        <w:t>除5.3.1的规定外，不必计及用水密人孔盖和平面舱盖、遥控操作的滑动水密门、非开启型的舷窗关闭的开口以及要求在海上保持关闭的水密出入门和舱口盖</w:t>
      </w:r>
      <w:r>
        <w:rPr>
          <w:rFonts w:hint="eastAsia" w:ascii="Times New Roman" w:hAnsi="Times New Roman"/>
          <w:strike/>
          <w:dstrike w:val="0"/>
          <w:color w:val="auto"/>
          <w:kern w:val="0"/>
          <w:highlight w:val="none"/>
        </w:rPr>
        <w:t>。</w:t>
      </w:r>
    </w:p>
    <w:p>
      <w:pPr>
        <w:autoSpaceDE w:val="0"/>
        <w:autoSpaceDN w:val="0"/>
        <w:adjustRightInd w:val="0"/>
        <w:ind w:left="1050" w:leftChars="200" w:hanging="630" w:hangingChars="300"/>
        <w:rPr>
          <w:rFonts w:hint="eastAsia" w:ascii="楷体_GB2312" w:eastAsia="楷体_GB2312"/>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19" w:name="_Toc521938877"/>
      <w:bookmarkStart w:id="20" w:name="_Toc6196"/>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8-1</w:t>
      </w:r>
      <w:r>
        <w:rPr>
          <w:rFonts w:hint="eastAsia" w:ascii="Times New Roman" w:hAnsi="Times New Roman" w:cstheme="minorBidi"/>
          <w:bCs w:val="0"/>
          <w:caps w:val="0"/>
          <w:kern w:val="0"/>
          <w:sz w:val="21"/>
          <w:szCs w:val="21"/>
          <w:highlight w:val="none"/>
          <w:lang w:val="en-US"/>
        </w:rPr>
        <w:t>条　客船浸水事故后的系统性能和操作资料</w:t>
      </w:r>
      <w:bookmarkEnd w:id="19"/>
      <w:bookmarkEnd w:id="20"/>
    </w:p>
    <w:p>
      <w:pPr>
        <w:autoSpaceDE w:val="0"/>
        <w:autoSpaceDN w:val="0"/>
        <w:adjustRightInd w:val="0"/>
        <w:ind w:firstLine="422" w:firstLineChars="200"/>
        <w:rPr>
          <w:rFonts w:ascii="Times New Roman" w:hAnsi="Times New Roman"/>
          <w:b/>
          <w:kern w:val="0"/>
          <w:highlight w:val="none"/>
        </w:rPr>
      </w:pPr>
    </w:p>
    <w:p>
      <w:pPr>
        <w:autoSpaceDE w:val="0"/>
        <w:autoSpaceDN w:val="0"/>
        <w:adjustRightInd w:val="0"/>
        <w:ind w:firstLine="420" w:firstLineChars="200"/>
        <w:rPr>
          <w:rFonts w:ascii="Times New Roman" w:hAnsi="Times New Roman"/>
          <w:kern w:val="0"/>
          <w:highlight w:val="none"/>
        </w:rPr>
      </w:pPr>
    </w:p>
    <w:p>
      <w:pPr>
        <w:autoSpaceDE w:val="0"/>
        <w:autoSpaceDN w:val="0"/>
        <w:adjustRightInd w:val="0"/>
        <w:ind w:firstLine="420" w:firstLineChars="200"/>
        <w:rPr>
          <w:rFonts w:ascii="楷体_GB2312" w:eastAsia="楷体_GB2312"/>
          <w:highlight w:val="none"/>
        </w:rPr>
      </w:pPr>
      <w:r>
        <w:rPr>
          <w:rFonts w:hint="eastAsia" w:ascii="楷体_GB2312" w:eastAsia="楷体_GB2312"/>
          <w:highlight w:val="none"/>
          <w:lang w:eastAsia="zh-CN"/>
        </w:rPr>
        <w:t>原</w:t>
      </w:r>
      <w:r>
        <w:rPr>
          <w:rFonts w:hint="eastAsia" w:ascii="楷体_GB2312" w:eastAsia="楷体_GB2312"/>
          <w:highlight w:val="none"/>
          <w:lang w:val="en-US" w:eastAsia="zh-CN"/>
        </w:rPr>
        <w:t>8-1条全部条款</w:t>
      </w:r>
      <w:r>
        <w:rPr>
          <w:rFonts w:hint="eastAsia" w:ascii="楷体_GB2312" w:eastAsia="楷体_GB2312"/>
          <w:highlight w:val="none"/>
          <w:lang w:eastAsia="zh-CN"/>
        </w:rPr>
        <w:t>改为</w:t>
      </w:r>
      <w:r>
        <w:rPr>
          <w:rFonts w:hint="eastAsia" w:ascii="楷体_GB2312" w:eastAsia="楷体_GB2312"/>
          <w:highlight w:val="none"/>
        </w:rPr>
        <w:t>：</w:t>
      </w:r>
    </w:p>
    <w:p>
      <w:pPr>
        <w:ind w:firstLine="420" w:firstLineChars="200"/>
        <w:rPr>
          <w:rFonts w:ascii="Times New Roman" w:hAnsi="Times New Roman"/>
          <w:color w:val="auto"/>
          <w:highlight w:val="none"/>
          <w:u w:val="none"/>
        </w:rPr>
      </w:pPr>
      <w:r>
        <w:rPr>
          <w:rFonts w:hint="eastAsia" w:ascii="Times New Roman" w:hAnsi="Times New Roman"/>
          <w:color w:val="auto"/>
          <w:highlight w:val="none"/>
          <w:u w:val="none"/>
        </w:rPr>
        <w:t>“</w:t>
      </w:r>
      <w:r>
        <w:rPr>
          <w:rFonts w:ascii="Times New Roman" w:hAnsi="Times New Roman"/>
          <w:color w:val="auto"/>
          <w:highlight w:val="none"/>
          <w:u w:val="none"/>
        </w:rPr>
        <w:t>1　适用范围</w:t>
      </w:r>
    </w:p>
    <w:p>
      <w:pPr>
        <w:ind w:firstLine="420" w:firstLineChars="200"/>
        <w:rPr>
          <w:rFonts w:ascii="Times New Roman" w:hAnsi="Times New Roman"/>
          <w:color w:val="auto"/>
          <w:highlight w:val="none"/>
          <w:u w:val="none"/>
        </w:rPr>
      </w:pPr>
      <w:r>
        <w:rPr>
          <w:rFonts w:ascii="Times New Roman" w:hAnsi="Times New Roman"/>
          <w:color w:val="auto"/>
          <w:highlight w:val="none"/>
          <w:u w:val="none"/>
        </w:rPr>
        <w:t>船长</w:t>
      </w:r>
      <w:r>
        <w:rPr>
          <w:rFonts w:hint="eastAsia" w:ascii="Times New Roman" w:hAnsi="Times New Roman"/>
          <w:color w:val="auto"/>
          <w:highlight w:val="none"/>
          <w:u w:val="none"/>
        </w:rPr>
        <w:t>（</w:t>
      </w:r>
      <w:r>
        <w:rPr>
          <w:rFonts w:ascii="Times New Roman" w:hAnsi="Times New Roman"/>
          <w:color w:val="auto"/>
          <w:highlight w:val="none"/>
          <w:u w:val="none"/>
        </w:rPr>
        <w:t>按</w:t>
      </w:r>
      <w:r>
        <w:rPr>
          <w:rFonts w:hint="eastAsia" w:ascii="Times New Roman" w:hAnsi="Times New Roman"/>
          <w:color w:val="auto"/>
          <w:highlight w:val="none"/>
          <w:u w:val="none"/>
        </w:rPr>
        <w:t>本篇第2-1章第2.5条</w:t>
      </w:r>
      <w:r>
        <w:rPr>
          <w:rFonts w:ascii="Times New Roman" w:hAnsi="Times New Roman"/>
          <w:color w:val="auto"/>
          <w:highlight w:val="none"/>
          <w:u w:val="none"/>
        </w:rPr>
        <w:t>定义</w:t>
      </w:r>
      <w:r>
        <w:rPr>
          <w:rFonts w:hint="eastAsia" w:ascii="Times New Roman" w:hAnsi="Times New Roman"/>
          <w:color w:val="auto"/>
          <w:highlight w:val="none"/>
          <w:u w:val="none"/>
        </w:rPr>
        <w:t>）</w:t>
      </w:r>
      <w:r>
        <w:rPr>
          <w:rFonts w:ascii="Times New Roman" w:hAnsi="Times New Roman"/>
          <w:color w:val="auto"/>
          <w:highlight w:val="none"/>
          <w:u w:val="none"/>
        </w:rPr>
        <w:t>为120 m或以上或有3个或以上主竖区的客船应符合本条规定。</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Times New Roman" w:hAnsi="Times New Roman"/>
          <w:color w:val="auto"/>
          <w:highlight w:val="none"/>
          <w:u w:val="none"/>
        </w:rPr>
      </w:pPr>
      <w:r>
        <w:rPr>
          <w:rFonts w:ascii="Times New Roman" w:hAnsi="Times New Roman"/>
          <w:color w:val="auto"/>
          <w:highlight w:val="none"/>
          <w:u w:val="none"/>
        </w:rPr>
        <w:t>2　发生</w:t>
      </w:r>
      <w:r>
        <w:rPr>
          <w:rFonts w:hint="eastAsia" w:ascii="Times New Roman" w:hAnsi="Times New Roman"/>
          <w:color w:val="auto"/>
          <w:highlight w:val="none"/>
          <w:u w:val="none"/>
        </w:rPr>
        <w:t>进</w:t>
      </w:r>
      <w:r>
        <w:rPr>
          <w:rFonts w:ascii="Times New Roman" w:hAnsi="Times New Roman"/>
          <w:color w:val="auto"/>
          <w:highlight w:val="none"/>
          <w:u w:val="none"/>
        </w:rPr>
        <w:t>水破损时重要系统的有效性</w:t>
      </w:r>
      <w:r>
        <w:rPr>
          <w:rFonts w:ascii="Times New Roman" w:hAnsi="Times New Roman"/>
          <w:color w:val="auto"/>
          <w:highlight w:val="none"/>
          <w:u w:val="none"/>
          <w:vertAlign w:val="superscript"/>
        </w:rPr>
        <w:footnoteReference w:id="5"/>
      </w:r>
    </w:p>
    <w:p>
      <w:pPr>
        <w:ind w:firstLine="420" w:firstLineChars="200"/>
        <w:rPr>
          <w:rFonts w:ascii="Times New Roman" w:hAnsi="Times New Roman"/>
          <w:color w:val="auto"/>
          <w:highlight w:val="none"/>
          <w:u w:val="none"/>
        </w:rPr>
      </w:pPr>
      <w:r>
        <w:rPr>
          <w:rFonts w:ascii="Times New Roman" w:hAnsi="Times New Roman"/>
          <w:color w:val="auto"/>
          <w:highlight w:val="none"/>
          <w:u w:val="none"/>
        </w:rPr>
        <w:t>客船的设计应使船舶在任何单个水密舱室</w:t>
      </w:r>
      <w:r>
        <w:rPr>
          <w:rFonts w:hint="eastAsia" w:ascii="Times New Roman" w:hAnsi="Times New Roman"/>
          <w:color w:val="auto"/>
          <w:highlight w:val="none"/>
          <w:u w:val="none"/>
        </w:rPr>
        <w:t>浸</w:t>
      </w:r>
      <w:r>
        <w:rPr>
          <w:rFonts w:ascii="Times New Roman" w:hAnsi="Times New Roman"/>
          <w:color w:val="auto"/>
          <w:highlight w:val="none"/>
          <w:u w:val="none"/>
        </w:rPr>
        <w:t>水时，</w:t>
      </w:r>
      <w:r>
        <w:rPr>
          <w:rFonts w:hint="eastAsia" w:ascii="Times New Roman" w:hAnsi="Times New Roman"/>
          <w:color w:val="auto"/>
          <w:highlight w:val="none"/>
          <w:u w:val="none"/>
        </w:rPr>
        <w:t>第2-2章第21.4条</w:t>
      </w:r>
      <w:r>
        <w:rPr>
          <w:rFonts w:ascii="Times New Roman" w:hAnsi="Times New Roman"/>
          <w:color w:val="auto"/>
          <w:highlight w:val="none"/>
          <w:u w:val="none"/>
        </w:rPr>
        <w:t>规定的系统保持运行。</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ascii="Times New Roman" w:hAnsi="Times New Roman"/>
          <w:color w:val="auto"/>
          <w:highlight w:val="none"/>
          <w:u w:val="none"/>
        </w:rPr>
      </w:pPr>
      <w:r>
        <w:rPr>
          <w:rFonts w:ascii="Times New Roman" w:hAnsi="Times New Roman"/>
          <w:color w:val="auto"/>
          <w:highlight w:val="none"/>
          <w:u w:val="none"/>
        </w:rPr>
        <w:t>3　</w:t>
      </w:r>
      <w:r>
        <w:rPr>
          <w:rFonts w:hint="eastAsia" w:ascii="Times New Roman" w:hAnsi="Times New Roman"/>
          <w:color w:val="auto"/>
          <w:highlight w:val="none"/>
          <w:u w:val="none"/>
        </w:rPr>
        <w:t>进</w:t>
      </w:r>
      <w:r>
        <w:rPr>
          <w:rFonts w:ascii="Times New Roman" w:hAnsi="Times New Roman"/>
          <w:color w:val="auto"/>
          <w:highlight w:val="none"/>
          <w:u w:val="none"/>
        </w:rPr>
        <w:t>水事故后的操作资料</w:t>
      </w:r>
    </w:p>
    <w:p>
      <w:pPr>
        <w:ind w:firstLine="420" w:firstLineChars="200"/>
        <w:rPr>
          <w:rFonts w:ascii="Times New Roman" w:hAnsi="Times New Roman"/>
          <w:color w:val="auto"/>
          <w:highlight w:val="none"/>
          <w:u w:val="none"/>
        </w:rPr>
      </w:pPr>
      <w:r>
        <w:rPr>
          <w:rFonts w:ascii="Times New Roman" w:hAnsi="Times New Roman"/>
          <w:color w:val="auto"/>
          <w:highlight w:val="none"/>
          <w:u w:val="none"/>
        </w:rPr>
        <w:t>3.1　根据</w:t>
      </w:r>
      <w:r>
        <w:rPr>
          <w:rFonts w:hint="eastAsia" w:ascii="Times New Roman" w:hAnsi="Times New Roman"/>
          <w:color w:val="auto"/>
          <w:highlight w:val="none"/>
          <w:u w:val="none"/>
        </w:rPr>
        <w:t>国际海事</w:t>
      </w:r>
      <w:r>
        <w:rPr>
          <w:rFonts w:ascii="Times New Roman" w:hAnsi="Times New Roman"/>
          <w:color w:val="auto"/>
          <w:highlight w:val="none"/>
          <w:u w:val="none"/>
        </w:rPr>
        <w:t>组织制定的指南</w:t>
      </w:r>
      <w:r>
        <w:rPr>
          <w:rFonts w:ascii="Times New Roman" w:hAnsi="Times New Roman"/>
          <w:color w:val="auto"/>
          <w:highlight w:val="none"/>
          <w:u w:val="none"/>
          <w:vertAlign w:val="superscript"/>
        </w:rPr>
        <w:footnoteReference w:id="6"/>
      </w:r>
      <w:r>
        <w:rPr>
          <w:rFonts w:ascii="Times New Roman" w:hAnsi="Times New Roman"/>
          <w:color w:val="auto"/>
          <w:highlight w:val="none"/>
          <w:u w:val="none"/>
        </w:rPr>
        <w:t>，为向船长提供</w:t>
      </w:r>
      <w:r>
        <w:rPr>
          <w:rFonts w:hint="eastAsia" w:ascii="Times New Roman" w:hAnsi="Times New Roman"/>
          <w:color w:val="auto"/>
          <w:highlight w:val="none"/>
          <w:u w:val="none"/>
        </w:rPr>
        <w:t>浸进</w:t>
      </w:r>
      <w:r>
        <w:rPr>
          <w:rFonts w:ascii="Times New Roman" w:hAnsi="Times New Roman"/>
          <w:color w:val="auto"/>
          <w:highlight w:val="none"/>
          <w:u w:val="none"/>
        </w:rPr>
        <w:t>水事故后安全返港的操作资料，</w:t>
      </w:r>
      <w:r>
        <w:rPr>
          <w:rFonts w:hint="default" w:ascii="Times New Roman" w:hAnsi="Times New Roman" w:cs="Times New Roman"/>
          <w:strike/>
          <w:dstrike w:val="0"/>
          <w:color w:val="FF0000"/>
          <w:kern w:val="0"/>
          <w:szCs w:val="22"/>
          <w:highlight w:val="none"/>
        </w:rPr>
        <w:t>客船应配备</w:t>
      </w:r>
      <w:r>
        <w:rPr>
          <w:rFonts w:ascii="Times New Roman" w:hAnsi="Times New Roman"/>
          <w:color w:val="FF0000"/>
          <w:highlight w:val="none"/>
          <w:u w:val="single"/>
        </w:rPr>
        <w:t>第1段规定的客船应配备</w:t>
      </w:r>
      <w:r>
        <w:rPr>
          <w:rFonts w:ascii="Times New Roman" w:hAnsi="Times New Roman"/>
          <w:color w:val="auto"/>
          <w:highlight w:val="none"/>
          <w:u w:val="none"/>
        </w:rPr>
        <w:t>：</w:t>
      </w:r>
    </w:p>
    <w:p>
      <w:pPr>
        <w:ind w:firstLine="420" w:firstLineChars="200"/>
        <w:rPr>
          <w:rFonts w:ascii="Times New Roman" w:hAnsi="Times New Roman"/>
          <w:color w:val="auto"/>
          <w:highlight w:val="none"/>
          <w:u w:val="none"/>
        </w:rPr>
      </w:pPr>
      <w:r>
        <w:rPr>
          <w:rFonts w:ascii="Times New Roman" w:hAnsi="Times New Roman"/>
          <w:color w:val="auto"/>
          <w:highlight w:val="none"/>
          <w:u w:val="none"/>
        </w:rPr>
        <w:t>.1 一台船上稳性计算机；或</w:t>
      </w:r>
    </w:p>
    <w:p>
      <w:pPr>
        <w:ind w:firstLine="420" w:firstLineChars="200"/>
        <w:rPr>
          <w:rFonts w:ascii="Times New Roman" w:hAnsi="Times New Roman"/>
          <w:color w:val="auto"/>
          <w:highlight w:val="none"/>
          <w:u w:val="none"/>
        </w:rPr>
      </w:pPr>
      <w:r>
        <w:rPr>
          <w:rFonts w:ascii="Times New Roman" w:hAnsi="Times New Roman"/>
          <w:color w:val="auto"/>
          <w:highlight w:val="none"/>
          <w:u w:val="none"/>
        </w:rPr>
        <w:t>.2 岸基支持。</w:t>
      </w:r>
    </w:p>
    <w:p>
      <w:pPr>
        <w:ind w:firstLine="420" w:firstLineChars="200"/>
        <w:rPr>
          <w:rFonts w:hint="eastAsia" w:ascii="Times New Roman" w:hAnsi="Times New Roman" w:eastAsiaTheme="minorEastAsia"/>
          <w:color w:val="auto"/>
          <w:highlight w:val="none"/>
          <w:u w:val="none"/>
          <w:lang w:eastAsia="zh-CN"/>
        </w:rPr>
      </w:pPr>
      <w:r>
        <w:rPr>
          <w:rFonts w:ascii="Times New Roman" w:hAnsi="Times New Roman"/>
          <w:color w:val="FF0000"/>
          <w:highlight w:val="none"/>
          <w:u w:val="single"/>
        </w:rPr>
        <w:t>3.2　2014年1月1日以前建造的客船应不迟于2025年1月1日以后的第一次换证检验符合3.1的规定。</w:t>
      </w:r>
      <w:r>
        <w:rPr>
          <w:rFonts w:hint="eastAsia" w:ascii="Times New Roman" w:hAnsi="Times New Roman"/>
          <w:color w:val="auto"/>
          <w:highlight w:val="none"/>
          <w:u w:val="none"/>
          <w:lang w:eastAsia="zh-CN"/>
        </w:rPr>
        <w:t>”</w:t>
      </w:r>
    </w:p>
    <w:p>
      <w:pPr>
        <w:autoSpaceDE w:val="0"/>
        <w:autoSpaceDN w:val="0"/>
        <w:adjustRightInd w:val="0"/>
        <w:ind w:firstLine="420" w:firstLineChars="200"/>
        <w:jc w:val="left"/>
        <w:rPr>
          <w:rFonts w:ascii="Times New Roman" w:hAnsi="Times New Roman"/>
          <w:kern w:val="0"/>
          <w:highlight w:val="none"/>
        </w:rPr>
      </w:pPr>
    </w:p>
    <w:p>
      <w:pPr>
        <w:pStyle w:val="3"/>
        <w:ind w:left="0" w:firstLine="562"/>
        <w:jc w:val="center"/>
        <w:rPr>
          <w:rFonts w:hint="default" w:ascii="Times New Roman" w:hAnsi="Times New Roman" w:cs="Times New Roman"/>
          <w:b w:val="0"/>
          <w:kern w:val="2"/>
          <w:sz w:val="28"/>
          <w:szCs w:val="28"/>
          <w:highlight w:val="none"/>
        </w:rPr>
      </w:pPr>
      <w:bookmarkStart w:id="21" w:name="_Toc1978"/>
      <w:bookmarkStart w:id="22" w:name="_Toc521938878"/>
      <w:r>
        <w:rPr>
          <w:rFonts w:hint="default" w:ascii="Times New Roman" w:hAnsi="Times New Roman" w:cs="Times New Roman"/>
          <w:bCs w:val="0"/>
          <w:caps w:val="0"/>
          <w:kern w:val="2"/>
          <w:sz w:val="28"/>
          <w:szCs w:val="28"/>
          <w:highlight w:val="none"/>
          <w:lang w:val="en-US"/>
        </w:rPr>
        <w:t>B–2部分　分舱、水密和风雨密完整性</w:t>
      </w:r>
      <w:bookmarkEnd w:id="21"/>
      <w:bookmarkEnd w:id="22"/>
    </w:p>
    <w:p>
      <w:pPr>
        <w:autoSpaceDE w:val="0"/>
        <w:autoSpaceDN w:val="0"/>
        <w:adjustRightInd w:val="0"/>
        <w:ind w:firstLine="420" w:firstLineChars="200"/>
        <w:jc w:val="center"/>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317"/>
        <w:jc w:val="center"/>
        <w:textAlignment w:val="auto"/>
        <w:outlineLvl w:val="2"/>
        <w:rPr>
          <w:rFonts w:ascii="Times New Roman" w:hAnsi="Times New Roman"/>
          <w:kern w:val="0"/>
          <w:highlight w:val="none"/>
        </w:rPr>
      </w:pPr>
      <w:bookmarkStart w:id="23" w:name="_Toc521938881"/>
      <w:bookmarkStart w:id="24" w:name="_Toc21592"/>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12</w:t>
      </w:r>
      <w:r>
        <w:rPr>
          <w:rFonts w:hint="eastAsia" w:ascii="Times New Roman" w:hAnsi="Times New Roman" w:cstheme="minorBidi"/>
          <w:bCs w:val="0"/>
          <w:caps w:val="0"/>
          <w:kern w:val="0"/>
          <w:sz w:val="21"/>
          <w:szCs w:val="21"/>
          <w:highlight w:val="none"/>
          <w:lang w:val="en-US"/>
        </w:rPr>
        <w:t>条　尖舱及机器处所的舱壁、轴隧等</w:t>
      </w:r>
      <w:bookmarkEnd w:id="23"/>
      <w:bookmarkEnd w:id="24"/>
    </w:p>
    <w:p>
      <w:pPr>
        <w:autoSpaceDE w:val="0"/>
        <w:autoSpaceDN w:val="0"/>
        <w:adjustRightInd w:val="0"/>
        <w:ind w:firstLine="316" w:firstLineChars="150"/>
        <w:rPr>
          <w:rFonts w:ascii="Times New Roman" w:hAnsi="Times New Roman"/>
          <w:b/>
          <w:kern w:val="0"/>
          <w:highlight w:val="none"/>
        </w:rPr>
      </w:pPr>
    </w:p>
    <w:p>
      <w:pPr>
        <w:autoSpaceDE w:val="0"/>
        <w:autoSpaceDN w:val="0"/>
        <w:adjustRightInd w:val="0"/>
        <w:ind w:firstLine="420" w:firstLineChars="200"/>
        <w:rPr>
          <w:rFonts w:ascii="楷体_GB2312" w:eastAsia="楷体_GB2312"/>
          <w:highlight w:val="none"/>
        </w:rPr>
      </w:pPr>
      <w:r>
        <w:rPr>
          <w:rFonts w:hint="eastAsia" w:ascii="楷体_GB2312" w:eastAsia="楷体_GB2312"/>
          <w:highlight w:val="none"/>
          <w:lang w:eastAsia="zh-CN"/>
        </w:rPr>
        <w:t>自</w:t>
      </w:r>
      <w:r>
        <w:rPr>
          <w:rFonts w:hint="eastAsia" w:ascii="楷体_GB2312" w:eastAsia="楷体_GB2312"/>
          <w:highlight w:val="none"/>
          <w:lang w:val="en-US" w:eastAsia="zh-CN"/>
        </w:rPr>
        <w:t>2024年1月1日起，</w:t>
      </w:r>
      <w:r>
        <w:rPr>
          <w:rFonts w:hint="eastAsia" w:ascii="楷体_GB2312" w:eastAsia="楷体_GB2312"/>
          <w:highlight w:val="none"/>
          <w:lang w:eastAsia="zh-CN"/>
        </w:rPr>
        <w:t>原</w:t>
      </w:r>
      <w:r>
        <w:rPr>
          <w:rFonts w:hint="eastAsia" w:ascii="楷体_GB2312" w:eastAsia="楷体_GB2312"/>
          <w:highlight w:val="none"/>
          <w:lang w:val="en-US" w:eastAsia="zh-CN"/>
        </w:rPr>
        <w:t>6.1改为</w:t>
      </w:r>
      <w:r>
        <w:rPr>
          <w:rFonts w:hint="eastAsia" w:ascii="楷体_GB2312" w:eastAsia="楷体_GB2312"/>
          <w:highlight w:val="none"/>
        </w:rPr>
        <w:t>：</w:t>
      </w:r>
    </w:p>
    <w:p>
      <w:pPr>
        <w:autoSpaceDE w:val="0"/>
        <w:autoSpaceDN w:val="0"/>
        <w:adjustRightInd w:val="0"/>
        <w:ind w:firstLine="420" w:firstLineChars="200"/>
        <w:jc w:val="left"/>
        <w:rPr>
          <w:rFonts w:hint="eastAsia" w:ascii="Times New Roman" w:hAnsi="Times New Roman"/>
          <w:kern w:val="0"/>
          <w:highlight w:val="none"/>
        </w:rPr>
      </w:pPr>
      <w:r>
        <w:rPr>
          <w:rFonts w:hint="eastAsia" w:ascii="Times New Roman" w:hAnsi="Times New Roman"/>
          <w:kern w:val="0"/>
          <w:highlight w:val="none"/>
        </w:rPr>
        <w:t>“</w:t>
      </w:r>
      <w:r>
        <w:rPr>
          <w:rFonts w:ascii="Times New Roman" w:hAnsi="Times New Roman"/>
          <w:kern w:val="0"/>
          <w:highlight w:val="none"/>
        </w:rPr>
        <w:t>6.1</w:t>
      </w:r>
      <w:r>
        <w:rPr>
          <w:rFonts w:hint="eastAsia" w:ascii="Times New Roman" w:hAnsi="Times New Roman"/>
          <w:kern w:val="0"/>
          <w:highlight w:val="none"/>
        </w:rPr>
        <w:t xml:space="preserve">  </w:t>
      </w:r>
      <w:r>
        <w:rPr>
          <w:rFonts w:ascii="Times New Roman" w:hAnsi="Times New Roman"/>
          <w:color w:val="FF0000"/>
          <w:highlight w:val="none"/>
          <w:u w:val="single"/>
        </w:rPr>
        <w:t>对于受第1.1.1.1条规定约束并在2024年1月1日以前建造的船舶，</w:t>
      </w:r>
      <w:r>
        <w:rPr>
          <w:rFonts w:ascii="Times New Roman" w:hAnsi="Times New Roman"/>
          <w:kern w:val="0"/>
          <w:highlight w:val="none"/>
        </w:rPr>
        <w:t>除本条</w:t>
      </w:r>
      <w:r>
        <w:rPr>
          <w:rFonts w:ascii="Times New Roman" w:hAnsi="Times New Roman"/>
          <w:strike/>
          <w:dstrike w:val="0"/>
          <w:color w:val="FF0000"/>
          <w:kern w:val="0"/>
          <w:highlight w:val="none"/>
        </w:rPr>
        <w:t>6.2</w:t>
      </w:r>
      <w:r>
        <w:rPr>
          <w:rFonts w:hint="eastAsia" w:ascii="Times New Roman" w:hAnsi="Times New Roman"/>
          <w:strike w:val="0"/>
          <w:dstrike w:val="0"/>
          <w:color w:val="FF0000"/>
          <w:kern w:val="0"/>
          <w:highlight w:val="none"/>
          <w:u w:val="single"/>
          <w:lang w:val="en-US" w:eastAsia="zh-CN"/>
        </w:rPr>
        <w:t>6.3</w:t>
      </w:r>
      <w:r>
        <w:rPr>
          <w:rFonts w:ascii="Times New Roman" w:hAnsi="Times New Roman"/>
          <w:kern w:val="0"/>
          <w:highlight w:val="none"/>
        </w:rPr>
        <w:t>规定者外，在客船舱壁甲板和货船干舷甲板以下的防撞舱壁上可穿过不超过1根管子，用以处理首尖舱内的液体，但该管子须设有能在客船舱壁甲板和货船干舷甲板以上操作的螺旋阀，阀位于首尖舱内的防撞舱壁上。如果所有营运工况下阀均可易于到达，并且其所在处所不是货物处所,主管机关可允许阀设于防撞舱壁的后面。或者，对于货船，管子可设有一个能在干舷甲板以上操作的由阀座或法兰适当支撑的蝶形阀。所有阀应为钢质、青铜或其他经认可的延性材料。普通铸铁或类似材料的阀不能采用。</w:t>
      </w:r>
      <w:r>
        <w:rPr>
          <w:rFonts w:hint="eastAsia" w:ascii="Times New Roman" w:hAnsi="Times New Roman"/>
          <w:kern w:val="0"/>
          <w:highlight w:val="none"/>
        </w:rPr>
        <w:t>”</w:t>
      </w:r>
    </w:p>
    <w:p>
      <w:pPr>
        <w:autoSpaceDE w:val="0"/>
        <w:autoSpaceDN w:val="0"/>
        <w:adjustRightInd w:val="0"/>
        <w:ind w:firstLine="420" w:firstLineChars="200"/>
        <w:jc w:val="left"/>
        <w:rPr>
          <w:rFonts w:hint="eastAsia" w:ascii="Times New Roman" w:hAnsi="Times New Roman"/>
          <w:kern w:val="0"/>
          <w:highlight w:val="none"/>
        </w:rPr>
      </w:pPr>
    </w:p>
    <w:p>
      <w:pPr>
        <w:autoSpaceDE w:val="0"/>
        <w:autoSpaceDN w:val="0"/>
        <w:adjustRightInd w:val="0"/>
        <w:ind w:firstLine="420" w:firstLineChars="200"/>
        <w:jc w:val="left"/>
        <w:rPr>
          <w:rFonts w:hint="eastAsia" w:ascii="楷体_GB2312" w:eastAsia="楷体_GB2312"/>
          <w:highlight w:val="none"/>
        </w:rPr>
      </w:pPr>
      <w:r>
        <w:rPr>
          <w:rFonts w:hint="eastAsia" w:ascii="楷体_GB2312" w:eastAsia="楷体_GB2312"/>
          <w:highlight w:val="none"/>
          <w:lang w:eastAsia="zh-CN"/>
        </w:rPr>
        <w:t>自</w:t>
      </w:r>
      <w:r>
        <w:rPr>
          <w:rFonts w:hint="eastAsia" w:ascii="楷体_GB2312" w:eastAsia="楷体_GB2312"/>
          <w:highlight w:val="none"/>
          <w:lang w:val="en-US" w:eastAsia="zh-CN"/>
        </w:rPr>
        <w:t>2024年1月1日起，</w:t>
      </w:r>
      <w:r>
        <w:rPr>
          <w:rFonts w:hint="eastAsia" w:ascii="楷体_GB2312" w:eastAsia="楷体_GB2312"/>
          <w:highlight w:val="none"/>
          <w:lang w:eastAsia="zh-CN"/>
        </w:rPr>
        <w:t>原</w:t>
      </w:r>
      <w:r>
        <w:rPr>
          <w:rFonts w:hint="eastAsia" w:ascii="楷体_GB2312" w:eastAsia="楷体_GB2312"/>
          <w:highlight w:val="none"/>
          <w:lang w:val="en-US" w:eastAsia="zh-CN"/>
        </w:rPr>
        <w:t>6.1后新增6.2如下，后续段落编号“6.2”相应改为“6.3”。</w:t>
      </w:r>
    </w:p>
    <w:p>
      <w:pPr>
        <w:ind w:firstLine="420" w:firstLineChars="200"/>
        <w:rPr>
          <w:rFonts w:hint="eastAsia" w:ascii="Times New Roman" w:hAnsi="Times New Roman"/>
          <w:color w:val="auto"/>
          <w:highlight w:val="none"/>
          <w:u w:val="none"/>
          <w:lang w:eastAsia="zh-CN"/>
        </w:rPr>
      </w:pPr>
      <w:r>
        <w:rPr>
          <w:rFonts w:hint="eastAsia" w:ascii="Times New Roman" w:hAnsi="Times New Roman"/>
          <w:color w:val="auto"/>
          <w:highlight w:val="none"/>
          <w:u w:val="none"/>
          <w:lang w:eastAsia="zh-CN"/>
        </w:rPr>
        <w:t>“</w:t>
      </w:r>
      <w:r>
        <w:rPr>
          <w:rFonts w:hint="eastAsia" w:ascii="Times New Roman" w:hAnsi="Times New Roman"/>
          <w:color w:val="FF0000"/>
          <w:highlight w:val="none"/>
          <w:u w:val="single"/>
        </w:rPr>
        <w:t>6.2  对于2024年1月1日或以后建造的船舶，除本条6.3规定者外，在客船舱壁甲板和货船干舷甲板以下的防撞舱壁上可穿过1根管子，用以处理首尖舱内的液体，但该管子须设有能在客船舱壁甲板和货船干舷甲板以上操作的遥控阀。该阀通常应关闭。如在阀操作期间遥控系统失效，该阀应自动关闭或能在客船舱壁甲板和货船干舷甲板以上的位置手动关闭。 该阀应位于防撞舱壁的前面或后面，条件是后面的处所不是货物处所。该阀应为钢质、青铜或其他经认可的延性材料。普通铸铁或类似材料的阀不能采用。</w:t>
      </w:r>
      <w:r>
        <w:rPr>
          <w:rFonts w:hint="eastAsia" w:ascii="Times New Roman" w:hAnsi="Times New Roman"/>
          <w:color w:val="auto"/>
          <w:highlight w:val="none"/>
          <w:u w:val="none"/>
          <w:lang w:eastAsia="zh-CN"/>
        </w:rPr>
        <w:t>”</w:t>
      </w:r>
    </w:p>
    <w:p>
      <w:pPr>
        <w:autoSpaceDE w:val="0"/>
        <w:autoSpaceDN w:val="0"/>
        <w:adjustRightInd w:val="0"/>
        <w:ind w:firstLine="420" w:firstLineChars="200"/>
        <w:jc w:val="left"/>
        <w:rPr>
          <w:rFonts w:ascii="Times New Roman" w:hAnsi="Times New Roman"/>
          <w:kern w:val="0"/>
          <w:highlight w:val="none"/>
        </w:rPr>
      </w:pPr>
    </w:p>
    <w:p>
      <w:pPr>
        <w:autoSpaceDE w:val="0"/>
        <w:autoSpaceDN w:val="0"/>
        <w:adjustRightInd w:val="0"/>
        <w:ind w:firstLine="420" w:firstLineChars="200"/>
        <w:jc w:val="left"/>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25" w:name="_Toc4382"/>
      <w:bookmarkStart w:id="26" w:name="_Toc521938882"/>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13</w:t>
      </w:r>
      <w:r>
        <w:rPr>
          <w:rFonts w:hint="eastAsia" w:ascii="Times New Roman" w:hAnsi="Times New Roman" w:cstheme="minorBidi"/>
          <w:bCs w:val="0"/>
          <w:caps w:val="0"/>
          <w:kern w:val="0"/>
          <w:sz w:val="21"/>
          <w:szCs w:val="21"/>
          <w:highlight w:val="none"/>
          <w:lang w:val="en-US"/>
        </w:rPr>
        <w:t>条　客船舱壁甲板以下水密舱壁上的开口</w:t>
      </w:r>
      <w:bookmarkEnd w:id="25"/>
      <w:bookmarkEnd w:id="26"/>
    </w:p>
    <w:p>
      <w:pPr>
        <w:autoSpaceDE w:val="0"/>
        <w:autoSpaceDN w:val="0"/>
        <w:adjustRightInd w:val="0"/>
        <w:ind w:firstLine="420" w:firstLineChars="200"/>
        <w:rPr>
          <w:rFonts w:ascii="Times New Roman" w:hAnsi="Times New Roman"/>
          <w:kern w:val="0"/>
          <w:highlight w:val="none"/>
        </w:rPr>
      </w:pPr>
    </w:p>
    <w:p>
      <w:pPr>
        <w:ind w:firstLine="422" w:firstLineChars="200"/>
        <w:rPr>
          <w:rFonts w:hint="eastAsia" w:ascii="Times New Roman" w:hAnsi="Times New Roman"/>
          <w:b/>
          <w:color w:val="auto"/>
          <w:szCs w:val="21"/>
          <w:highlight w:val="none"/>
          <w:u w:val="none"/>
        </w:rPr>
      </w:pPr>
    </w:p>
    <w:p>
      <w:pPr>
        <w:ind w:firstLine="420" w:firstLineChars="200"/>
        <w:rPr>
          <w:rFonts w:hint="eastAsia" w:ascii="楷体" w:hAnsi="楷体" w:eastAsia="楷体"/>
          <w:color w:val="auto"/>
          <w:szCs w:val="21"/>
          <w:highlight w:val="none"/>
          <w:u w:val="none"/>
        </w:rPr>
      </w:pPr>
      <w:r>
        <w:rPr>
          <w:rFonts w:hint="eastAsia" w:ascii="楷体" w:hAnsi="楷体" w:eastAsia="楷体"/>
          <w:color w:val="auto"/>
          <w:szCs w:val="21"/>
          <w:highlight w:val="none"/>
          <w:u w:val="none"/>
        </w:rPr>
        <w:t>自2024年1月1日起，</w:t>
      </w:r>
      <w:r>
        <w:rPr>
          <w:rFonts w:hint="eastAsia" w:ascii="楷体" w:hAnsi="楷体" w:eastAsia="楷体"/>
          <w:color w:val="auto"/>
          <w:szCs w:val="21"/>
          <w:highlight w:val="none"/>
          <w:u w:val="none"/>
          <w:lang w:eastAsia="zh-CN"/>
        </w:rPr>
        <w:t>本</w:t>
      </w:r>
      <w:r>
        <w:rPr>
          <w:rFonts w:hint="eastAsia" w:ascii="楷体" w:hAnsi="楷体" w:eastAsia="楷体"/>
          <w:color w:val="auto"/>
          <w:szCs w:val="21"/>
          <w:highlight w:val="none"/>
          <w:u w:val="none"/>
        </w:rPr>
        <w:t>条</w:t>
      </w:r>
      <w:r>
        <w:rPr>
          <w:rFonts w:hint="eastAsia" w:ascii="楷体" w:hAnsi="楷体" w:eastAsia="楷体"/>
          <w:color w:val="auto"/>
          <w:szCs w:val="21"/>
          <w:highlight w:val="none"/>
          <w:u w:val="none"/>
          <w:lang w:eastAsia="zh-CN"/>
        </w:rPr>
        <w:t>标题及</w:t>
      </w:r>
      <w:r>
        <w:rPr>
          <w:rFonts w:hint="eastAsia" w:ascii="楷体" w:hAnsi="楷体" w:eastAsia="楷体"/>
          <w:color w:val="auto"/>
          <w:szCs w:val="21"/>
          <w:highlight w:val="none"/>
          <w:u w:val="none"/>
          <w:lang w:val="en-US" w:eastAsia="zh-CN"/>
        </w:rPr>
        <w:t>全部条款</w:t>
      </w:r>
      <w:r>
        <w:rPr>
          <w:rFonts w:hint="eastAsia" w:ascii="楷体" w:hAnsi="楷体" w:eastAsia="楷体"/>
          <w:color w:val="auto"/>
          <w:szCs w:val="21"/>
          <w:highlight w:val="none"/>
          <w:u w:val="none"/>
          <w:lang w:eastAsia="zh-CN"/>
        </w:rPr>
        <w:t>改为</w:t>
      </w:r>
      <w:r>
        <w:rPr>
          <w:rFonts w:hint="eastAsia" w:ascii="楷体" w:hAnsi="楷体" w:eastAsia="楷体"/>
          <w:color w:val="auto"/>
          <w:szCs w:val="21"/>
          <w:highlight w:val="none"/>
          <w:u w:val="none"/>
        </w:rPr>
        <w:t>：</w:t>
      </w:r>
    </w:p>
    <w:p>
      <w:pPr>
        <w:keepNext w:val="0"/>
        <w:keepLines w:val="0"/>
        <w:pageBreakBefore w:val="0"/>
        <w:widowControl w:val="0"/>
        <w:kinsoku/>
        <w:wordWrap/>
        <w:overflowPunct/>
        <w:topLinePunct w:val="0"/>
        <w:autoSpaceDE/>
        <w:autoSpaceDN/>
        <w:bidi w:val="0"/>
        <w:adjustRightInd/>
        <w:snapToGrid/>
        <w:ind w:firstLine="422" w:firstLineChars="200"/>
        <w:textAlignment w:val="auto"/>
        <w:outlineLvl w:val="9"/>
        <w:rPr>
          <w:rFonts w:hint="eastAsia" w:ascii="Times New Roman" w:hAnsi="Times New Roman"/>
          <w:b/>
          <w:color w:val="auto"/>
          <w:szCs w:val="21"/>
          <w:highlight w:val="none"/>
          <w:u w:val="none"/>
        </w:rPr>
      </w:pPr>
      <w:r>
        <w:rPr>
          <w:rFonts w:hint="eastAsia" w:ascii="Times New Roman" w:hAnsi="Times New Roman"/>
          <w:b/>
          <w:color w:val="auto"/>
          <w:szCs w:val="21"/>
          <w:highlight w:val="none"/>
          <w:u w:val="none"/>
        </w:rPr>
        <w:t>“</w:t>
      </w:r>
    </w:p>
    <w:p>
      <w:pPr>
        <w:spacing w:after="156" w:afterLines="50" w:line="360" w:lineRule="auto"/>
        <w:ind w:firstLine="422" w:firstLineChars="200"/>
        <w:jc w:val="center"/>
        <w:rPr>
          <w:rFonts w:ascii="Times New Roman" w:hAnsi="Times New Roman"/>
          <w:color w:val="FF0000"/>
          <w:szCs w:val="21"/>
          <w:highlight w:val="none"/>
          <w:u w:val="single"/>
        </w:rPr>
      </w:pPr>
      <w:r>
        <w:rPr>
          <w:rFonts w:ascii="Times New Roman" w:hAnsi="Times New Roman"/>
          <w:b/>
          <w:color w:val="FF0000"/>
          <w:szCs w:val="21"/>
          <w:highlight w:val="none"/>
          <w:u w:val="single"/>
        </w:rPr>
        <w:t>第13条  客船舱壁甲板以下水密</w:t>
      </w:r>
      <w:r>
        <w:rPr>
          <w:rFonts w:ascii="Times New Roman" w:hAnsi="Times New Roman"/>
          <w:b/>
          <w:color w:val="FF0000"/>
          <w:highlight w:val="none"/>
          <w:u w:val="single"/>
        </w:rPr>
        <w:t>限界面</w:t>
      </w:r>
      <w:r>
        <w:rPr>
          <w:rFonts w:ascii="Times New Roman" w:hAnsi="Times New Roman"/>
          <w:b/>
          <w:color w:val="FF0000"/>
          <w:szCs w:val="21"/>
          <w:highlight w:val="none"/>
          <w:u w:val="single"/>
        </w:rPr>
        <w:t>上的开口</w:t>
      </w:r>
    </w:p>
    <w:p>
      <w:pPr>
        <w:ind w:firstLine="420" w:firstLineChars="200"/>
        <w:rPr>
          <w:rFonts w:ascii="Times New Roman" w:hAnsi="Times New Roman"/>
          <w:color w:val="auto"/>
          <w:highlight w:val="none"/>
          <w:u w:val="none"/>
        </w:rPr>
      </w:pPr>
      <w:r>
        <w:rPr>
          <w:rFonts w:ascii="Times New Roman" w:hAnsi="Times New Roman"/>
          <w:color w:val="auto"/>
          <w:szCs w:val="21"/>
          <w:highlight w:val="none"/>
          <w:u w:val="none"/>
        </w:rPr>
        <w:t>1</w:t>
      </w:r>
      <w:r>
        <w:rPr>
          <w:rFonts w:ascii="Times New Roman" w:hAnsi="Times New Roman"/>
          <w:color w:val="auto"/>
          <w:highlight w:val="none"/>
          <w:u w:val="none"/>
        </w:rPr>
        <w:t xml:space="preserve">  水密限界面上开口的数量应在适应船舶设计及船舶正常作业的情况下减至最少，这些开口均应设有可靠的关闭设备。</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2.1</w:t>
      </w:r>
      <w:r>
        <w:rPr>
          <w:rFonts w:ascii="Times New Roman" w:hAnsi="Times New Roman"/>
          <w:color w:val="auto"/>
          <w:highlight w:val="none"/>
          <w:u w:val="none"/>
        </w:rPr>
        <w:t xml:space="preserve">  如管子、排水管和电缆等通过水密限界面时，应设有保证该限界面水密完整性的设施。</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2.2</w:t>
      </w:r>
      <w:r>
        <w:rPr>
          <w:rFonts w:ascii="Times New Roman" w:hAnsi="Times New Roman"/>
          <w:color w:val="auto"/>
          <w:highlight w:val="none"/>
          <w:u w:val="none"/>
        </w:rPr>
        <w:t xml:space="preserve">  不得在水密限界面上装设与构成管系无关的阀。</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2.3</w:t>
      </w:r>
      <w:r>
        <w:rPr>
          <w:rFonts w:ascii="Times New Roman" w:hAnsi="Times New Roman"/>
          <w:color w:val="auto"/>
          <w:highlight w:val="none"/>
          <w:u w:val="none"/>
        </w:rPr>
        <w:t xml:space="preserve">  铅或其他易熔材料不应用于穿过水密限界面的管系上，因为发生火灾时这种管系的损坏将会损害限界面的水密完整性。</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3</w:t>
      </w:r>
      <w:r>
        <w:rPr>
          <w:rFonts w:ascii="Times New Roman" w:hAnsi="Times New Roman"/>
          <w:color w:val="auto"/>
          <w:highlight w:val="none"/>
          <w:u w:val="none"/>
        </w:rPr>
        <w:t xml:space="preserve">  分隔相邻货物处所的水密横舱壁不准设门、人孔或通道开口，但本条</w:t>
      </w:r>
      <w:r>
        <w:rPr>
          <w:rFonts w:hint="eastAsia" w:ascii="Times New Roman" w:hAnsi="Times New Roman"/>
          <w:color w:val="auto"/>
          <w:highlight w:val="none"/>
          <w:u w:val="none"/>
          <w:lang w:val="en-US" w:eastAsia="zh-CN"/>
        </w:rPr>
        <w:t>8.1</w:t>
      </w:r>
      <w:r>
        <w:rPr>
          <w:rFonts w:ascii="Times New Roman" w:hAnsi="Times New Roman"/>
          <w:color w:val="auto"/>
          <w:highlight w:val="none"/>
          <w:u w:val="none"/>
        </w:rPr>
        <w:t>和第14条规定者除外。</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4</w:t>
      </w:r>
      <w:r>
        <w:rPr>
          <w:rFonts w:ascii="Times New Roman" w:hAnsi="Times New Roman"/>
          <w:color w:val="auto"/>
          <w:highlight w:val="none"/>
          <w:u w:val="none"/>
        </w:rPr>
        <w:t xml:space="preserve">  除符合本条</w:t>
      </w:r>
      <w:r>
        <w:rPr>
          <w:rFonts w:hint="eastAsia" w:ascii="Times New Roman" w:hAnsi="Times New Roman"/>
          <w:strike w:val="0"/>
          <w:dstrike w:val="0"/>
          <w:color w:val="auto"/>
          <w:highlight w:val="none"/>
          <w:u w:val="none"/>
          <w:lang w:val="en-US" w:eastAsia="zh-CN"/>
        </w:rPr>
        <w:t>9</w:t>
      </w:r>
      <w:r>
        <w:rPr>
          <w:rFonts w:ascii="Times New Roman" w:hAnsi="Times New Roman"/>
          <w:color w:val="auto"/>
          <w:highlight w:val="none"/>
          <w:u w:val="none"/>
        </w:rPr>
        <w:t>的规定外，在主、辅推进机械包括推进所需的锅炉的处所内，其每一水密舱壁上，除通往轴隧的门外，只可设置1扇门。如装有2根或更多的轴，其轴隧之间应设有一个互通的连接通道。如装设2根轴者，在机器处所与轴隧间仅准设1扇门；如装设2根轴以上者，则只准设2扇门。所有这些门均应为滑动式，且应设置于使其门槛尽可能高之处。在机器处所以外，应装设从舱壁甲板上操纵这些门的手动装置。</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5.1</w:t>
      </w:r>
      <w:r>
        <w:rPr>
          <w:rFonts w:ascii="Times New Roman" w:hAnsi="Times New Roman"/>
          <w:color w:val="auto"/>
          <w:highlight w:val="none"/>
          <w:u w:val="none"/>
        </w:rPr>
        <w:t xml:space="preserve">  除本条</w:t>
      </w:r>
      <w:r>
        <w:rPr>
          <w:rFonts w:hint="eastAsia" w:ascii="Times New Roman" w:hAnsi="Times New Roman"/>
          <w:color w:val="auto"/>
          <w:highlight w:val="none"/>
          <w:u w:val="none"/>
          <w:lang w:val="en-US" w:eastAsia="zh-CN"/>
        </w:rPr>
        <w:t>8.1</w:t>
      </w:r>
      <w:r>
        <w:rPr>
          <w:rFonts w:ascii="Times New Roman" w:hAnsi="Times New Roman"/>
          <w:color w:val="auto"/>
          <w:highlight w:val="none"/>
          <w:u w:val="none"/>
        </w:rPr>
        <w:t>或第14条规定外，水密门应为符合本条</w:t>
      </w:r>
      <w:r>
        <w:rPr>
          <w:rFonts w:hint="eastAsia" w:ascii="Times New Roman" w:hAnsi="Times New Roman"/>
          <w:color w:val="auto"/>
          <w:highlight w:val="none"/>
          <w:u w:val="none"/>
          <w:lang w:val="en-US" w:eastAsia="zh-CN"/>
        </w:rPr>
        <w:t>6</w:t>
      </w:r>
      <w:r>
        <w:rPr>
          <w:rFonts w:ascii="Times New Roman" w:hAnsi="Times New Roman"/>
          <w:color w:val="auto"/>
          <w:highlight w:val="none"/>
          <w:u w:val="none"/>
        </w:rPr>
        <w:t>要求的动力滑动门。</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5.2</w:t>
      </w:r>
      <w:r>
        <w:rPr>
          <w:rFonts w:ascii="Times New Roman" w:hAnsi="Times New Roman"/>
          <w:color w:val="auto"/>
          <w:highlight w:val="none"/>
          <w:u w:val="none"/>
        </w:rPr>
        <w:t xml:space="preserve">  任何动力滑动水密门的操纵装置，无论是动力式还是手动式，均应能在船舶向任一舷横倾至15°的情况下将门关闭。还应考虑当水从开口处涌入时，在门的任一侧受到一个相当于在门的中心线处门槛以上至少1 m高度的静水压头的作用力。</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5.3</w:t>
      </w:r>
      <w:r>
        <w:rPr>
          <w:rFonts w:ascii="Times New Roman" w:hAnsi="Times New Roman"/>
          <w:color w:val="auto"/>
          <w:highlight w:val="none"/>
          <w:u w:val="none"/>
        </w:rPr>
        <w:t xml:space="preserve">  水密门的操纵装置，包括液压管路和电缆，应尽可能靠近装设该门的舱壁，以减少当船舶遭受破损时这些装置也被损坏的可能性。水密门及其操纵装置的位置应满足当船舶在如第2条定义的1/5船宽（在最深分舱吃水线上向中心线垂直量计）范围内遭受破损时，位于船舶破损部位以外的水密门的操纵不受妨碍。</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 xml:space="preserve">6.1 </w:t>
      </w:r>
      <w:r>
        <w:rPr>
          <w:rFonts w:ascii="Times New Roman" w:hAnsi="Times New Roman"/>
          <w:color w:val="auto"/>
          <w:highlight w:val="none"/>
          <w:u w:val="none"/>
        </w:rPr>
        <w:t xml:space="preserve"> 每一动力滑动水密门：</w:t>
      </w:r>
    </w:p>
    <w:p>
      <w:pPr>
        <w:ind w:firstLine="840" w:firstLineChars="400"/>
        <w:rPr>
          <w:rFonts w:ascii="Times New Roman" w:hAnsi="Times New Roman"/>
          <w:color w:val="auto"/>
          <w:highlight w:val="none"/>
          <w:u w:val="none"/>
        </w:rPr>
      </w:pPr>
      <w:r>
        <w:rPr>
          <w:rFonts w:ascii="Times New Roman" w:hAnsi="Times New Roman"/>
          <w:bCs/>
          <w:color w:val="auto"/>
          <w:highlight w:val="none"/>
          <w:u w:val="none"/>
        </w:rPr>
        <w:t xml:space="preserve">.1 </w:t>
      </w:r>
      <w:r>
        <w:rPr>
          <w:rFonts w:ascii="Times New Roman" w:hAnsi="Times New Roman"/>
          <w:color w:val="auto"/>
          <w:highlight w:val="none"/>
          <w:u w:val="none"/>
        </w:rPr>
        <w:t xml:space="preserve"> 应为竖动式或横动式；</w:t>
      </w:r>
    </w:p>
    <w:p>
      <w:pPr>
        <w:ind w:left="1260" w:leftChars="400" w:hanging="420" w:hangingChars="200"/>
        <w:rPr>
          <w:rFonts w:ascii="Times New Roman" w:hAnsi="Times New Roman"/>
          <w:color w:val="auto"/>
          <w:highlight w:val="none"/>
          <w:u w:val="none"/>
        </w:rPr>
      </w:pPr>
      <w:r>
        <w:rPr>
          <w:rFonts w:ascii="Times New Roman" w:hAnsi="Times New Roman"/>
          <w:bCs/>
          <w:color w:val="auto"/>
          <w:highlight w:val="none"/>
          <w:u w:val="none"/>
        </w:rPr>
        <w:t>.2</w:t>
      </w:r>
      <w:r>
        <w:rPr>
          <w:rFonts w:ascii="Times New Roman" w:hAnsi="Times New Roman"/>
          <w:color w:val="auto"/>
          <w:highlight w:val="none"/>
          <w:u w:val="none"/>
        </w:rPr>
        <w:t xml:space="preserve">  除按本条9规定外，最大净开口宽度一般还应限制为1.2 m。只有在考虑到船舶实际操作需要时，主管机关可允许设更宽的门，但应考虑包括以下要求的其他安全措施：</w:t>
      </w:r>
    </w:p>
    <w:p>
      <w:pPr>
        <w:ind w:left="1260" w:leftChars="600"/>
        <w:rPr>
          <w:rFonts w:ascii="Times New Roman" w:hAnsi="Times New Roman"/>
          <w:color w:val="auto"/>
          <w:highlight w:val="none"/>
          <w:u w:val="none"/>
        </w:rPr>
      </w:pPr>
      <w:r>
        <w:rPr>
          <w:rFonts w:ascii="Times New Roman" w:hAnsi="Times New Roman"/>
          <w:bCs/>
          <w:color w:val="auto"/>
          <w:highlight w:val="none"/>
          <w:u w:val="none"/>
        </w:rPr>
        <w:t xml:space="preserve">.1 </w:t>
      </w:r>
      <w:r>
        <w:rPr>
          <w:rFonts w:ascii="Times New Roman" w:hAnsi="Times New Roman"/>
          <w:color w:val="auto"/>
          <w:highlight w:val="none"/>
          <w:u w:val="none"/>
        </w:rPr>
        <w:t xml:space="preserve"> 对该门的强度和关闭设备应予特殊考虑，以防止渗漏；和</w:t>
      </w:r>
    </w:p>
    <w:p>
      <w:pPr>
        <w:ind w:left="1260" w:leftChars="600"/>
        <w:rPr>
          <w:rFonts w:ascii="Times New Roman" w:hAnsi="Times New Roman"/>
          <w:color w:val="auto"/>
          <w:highlight w:val="none"/>
          <w:u w:val="none"/>
        </w:rPr>
      </w:pPr>
      <w:r>
        <w:rPr>
          <w:rFonts w:ascii="Times New Roman" w:hAnsi="Times New Roman"/>
          <w:bCs/>
          <w:color w:val="auto"/>
          <w:highlight w:val="none"/>
          <w:u w:val="none"/>
        </w:rPr>
        <w:t>.2</w:t>
      </w:r>
      <w:r>
        <w:rPr>
          <w:rFonts w:ascii="Times New Roman" w:hAnsi="Times New Roman"/>
          <w:color w:val="auto"/>
          <w:highlight w:val="none"/>
          <w:u w:val="none"/>
        </w:rPr>
        <w:t xml:space="preserve">  该门应位于</w:t>
      </w:r>
      <w:r>
        <w:rPr>
          <w:rFonts w:ascii="Times New Roman" w:hAnsi="Times New Roman"/>
          <w:i/>
          <w:iCs/>
          <w:color w:val="auto"/>
          <w:highlight w:val="none"/>
          <w:u w:val="none"/>
        </w:rPr>
        <w:t>B</w:t>
      </w:r>
      <w:r>
        <w:rPr>
          <w:rFonts w:ascii="Times New Roman" w:hAnsi="Times New Roman"/>
          <w:color w:val="auto"/>
          <w:highlight w:val="none"/>
          <w:u w:val="none"/>
        </w:rPr>
        <w:t>/5的破损区域内侧；</w:t>
      </w:r>
    </w:p>
    <w:p>
      <w:pPr>
        <w:ind w:left="1680" w:leftChars="600" w:hanging="420" w:hangingChars="200"/>
        <w:rPr>
          <w:rFonts w:ascii="Times New Roman" w:hAnsi="Times New Roman"/>
          <w:color w:val="auto"/>
          <w:highlight w:val="none"/>
          <w:u w:val="none"/>
        </w:rPr>
      </w:pPr>
      <w:r>
        <w:rPr>
          <w:rFonts w:ascii="Times New Roman" w:hAnsi="Times New Roman"/>
          <w:bCs/>
          <w:color w:val="auto"/>
          <w:highlight w:val="none"/>
          <w:u w:val="none"/>
        </w:rPr>
        <w:t>.3</w:t>
      </w:r>
      <w:r>
        <w:rPr>
          <w:rFonts w:ascii="Times New Roman" w:hAnsi="Times New Roman"/>
          <w:color w:val="auto"/>
          <w:highlight w:val="none"/>
          <w:u w:val="none"/>
        </w:rPr>
        <w:t xml:space="preserve">  应设有使用电力、液压或主管机关接受的其他动力开启和关闭门的必要设备；</w:t>
      </w:r>
    </w:p>
    <w:p>
      <w:pPr>
        <w:ind w:left="1680" w:leftChars="600" w:hanging="420" w:hangingChars="200"/>
        <w:rPr>
          <w:rFonts w:ascii="Times New Roman" w:hAnsi="Times New Roman"/>
          <w:color w:val="auto"/>
          <w:highlight w:val="none"/>
          <w:u w:val="none"/>
        </w:rPr>
      </w:pPr>
      <w:r>
        <w:rPr>
          <w:rFonts w:ascii="Times New Roman" w:hAnsi="Times New Roman"/>
          <w:bCs/>
          <w:color w:val="auto"/>
          <w:highlight w:val="none"/>
          <w:u w:val="none"/>
        </w:rPr>
        <w:t>.4</w:t>
      </w:r>
      <w:r>
        <w:rPr>
          <w:rFonts w:ascii="Times New Roman" w:hAnsi="Times New Roman"/>
          <w:color w:val="auto"/>
          <w:highlight w:val="none"/>
          <w:u w:val="none"/>
        </w:rPr>
        <w:t xml:space="preserve">  应设置一套独立的手动机械装置。该装置能从门的任何一侧用手开启和关闭；此外，还能在舱壁甲板上可到达之处用全周旋摇柄转动或主管机关接受的具有同样安全程度的其他动作关闭该门。在所有操纵位置处须清楚地标明旋转方向或其他动作的方向。在船舶正浮时，手动操纵装置将门完全关闭的时间应不超过90 s。应在舱壁甲板上可到达位置设有显示出每扇门的开启或关闭状态的发光指示器； </w:t>
      </w:r>
    </w:p>
    <w:p>
      <w:pPr>
        <w:ind w:left="1680" w:leftChars="600" w:hanging="420" w:hangingChars="200"/>
        <w:rPr>
          <w:rFonts w:ascii="Times New Roman" w:hAnsi="Times New Roman"/>
          <w:color w:val="auto"/>
          <w:highlight w:val="none"/>
          <w:u w:val="none"/>
        </w:rPr>
      </w:pPr>
      <w:r>
        <w:rPr>
          <w:rFonts w:ascii="Times New Roman" w:hAnsi="Times New Roman"/>
          <w:bCs/>
          <w:color w:val="auto"/>
          <w:highlight w:val="none"/>
          <w:u w:val="none"/>
        </w:rPr>
        <w:t>.5</w:t>
      </w:r>
      <w:r>
        <w:rPr>
          <w:rFonts w:ascii="Times New Roman" w:hAnsi="Times New Roman"/>
          <w:color w:val="auto"/>
          <w:highlight w:val="none"/>
          <w:u w:val="none"/>
        </w:rPr>
        <w:t xml:space="preserve">  应设置从门的两侧用动力开启和关闭该门的控制装置。还应设置从本条7.1要求的总控制台用动力关闭该门的控制装置；</w:t>
      </w:r>
    </w:p>
    <w:p>
      <w:pPr>
        <w:ind w:left="1680" w:leftChars="600" w:hanging="420" w:hangingChars="200"/>
        <w:rPr>
          <w:rFonts w:ascii="Times New Roman" w:hAnsi="Times New Roman"/>
          <w:color w:val="auto"/>
          <w:highlight w:val="none"/>
          <w:u w:val="none"/>
        </w:rPr>
      </w:pPr>
      <w:r>
        <w:rPr>
          <w:rFonts w:ascii="Times New Roman" w:hAnsi="Times New Roman"/>
          <w:bCs/>
          <w:color w:val="auto"/>
          <w:highlight w:val="none"/>
          <w:u w:val="none"/>
        </w:rPr>
        <w:t>.6</w:t>
      </w:r>
      <w:r>
        <w:rPr>
          <w:rFonts w:ascii="Times New Roman" w:hAnsi="Times New Roman"/>
          <w:color w:val="auto"/>
          <w:highlight w:val="none"/>
          <w:u w:val="none"/>
        </w:rPr>
        <w:t xml:space="preserve">  应设置一个与该区域内其他报警器不同的听觉报警器。当该门用动力遥控关闭时，这种报警器应在门开始移动前至少5 s但不超过10 s发出声响，且连续发出声响直至该门完全关闭。在手动遥控操纵的情况下，只要当门移动时听觉报警器能发出声响即可。此外，在乘客区域和高环境噪声区域，主管机关可以要求在门上的听觉报警器增配一个间歇发光信号器；和</w:t>
      </w:r>
    </w:p>
    <w:p>
      <w:pPr>
        <w:ind w:left="1680" w:leftChars="600" w:hanging="420" w:hangingChars="200"/>
        <w:rPr>
          <w:rFonts w:ascii="Times New Roman" w:hAnsi="Times New Roman"/>
          <w:color w:val="auto"/>
          <w:highlight w:val="none"/>
          <w:u w:val="none"/>
        </w:rPr>
      </w:pPr>
      <w:r>
        <w:rPr>
          <w:rFonts w:ascii="Times New Roman" w:hAnsi="Times New Roman"/>
          <w:bCs/>
          <w:color w:val="auto"/>
          <w:highlight w:val="none"/>
          <w:u w:val="none"/>
        </w:rPr>
        <w:t xml:space="preserve">.7 </w:t>
      </w:r>
      <w:r>
        <w:rPr>
          <w:rFonts w:ascii="Times New Roman" w:hAnsi="Times New Roman"/>
          <w:color w:val="auto"/>
          <w:highlight w:val="none"/>
          <w:u w:val="none"/>
        </w:rPr>
        <w:t xml:space="preserve"> 用动力关闭门时关闭速率应大致均匀。在船舶正浮时，从门开始移动至门完全关闭的时间，在任何情况下应不少于20 s或不大于40 s。</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6.2</w:t>
      </w:r>
      <w:r>
        <w:rPr>
          <w:rFonts w:ascii="Times New Roman" w:hAnsi="Times New Roman"/>
          <w:color w:val="auto"/>
          <w:highlight w:val="none"/>
          <w:u w:val="none"/>
        </w:rPr>
        <w:t xml:space="preserve"> 动力滑动水密门需要的电源应由应急配电板直接供电，或由位于舱壁甲板上方的专用配电板直接供电。与其关联的控制装置、指示器和报警电路也应由应急配电板直接供电或由位于舱壁甲板上方的专用配电板供电，并且当主电源或应急电源发生故障时，能自动转换为由第42.3.1.3条要求的临时应急电源供电。</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6.3</w:t>
      </w:r>
      <w:r>
        <w:rPr>
          <w:rFonts w:ascii="Times New Roman" w:hAnsi="Times New Roman"/>
          <w:color w:val="auto"/>
          <w:highlight w:val="none"/>
          <w:u w:val="none"/>
        </w:rPr>
        <w:t xml:space="preserve"> 动力滑动水密门应设有下列任一系统：</w:t>
      </w:r>
    </w:p>
    <w:p>
      <w:pPr>
        <w:ind w:left="1260" w:leftChars="400" w:hanging="420" w:hangingChars="200"/>
        <w:rPr>
          <w:rFonts w:ascii="Times New Roman" w:hAnsi="Times New Roman"/>
          <w:color w:val="auto"/>
          <w:highlight w:val="none"/>
          <w:u w:val="none"/>
        </w:rPr>
      </w:pPr>
      <w:r>
        <w:rPr>
          <w:rFonts w:ascii="Times New Roman" w:hAnsi="Times New Roman"/>
          <w:bCs/>
          <w:color w:val="auto"/>
          <w:highlight w:val="none"/>
          <w:u w:val="none"/>
        </w:rPr>
        <w:t>.1</w:t>
      </w:r>
      <w:r>
        <w:rPr>
          <w:rFonts w:ascii="Times New Roman" w:hAnsi="Times New Roman"/>
          <w:color w:val="auto"/>
          <w:highlight w:val="none"/>
          <w:u w:val="none"/>
        </w:rPr>
        <w:t xml:space="preserve">  设有一套具有两个独立动力源的集中液压系统，每一动力源由一台能同时关闭所有门的电动机和泵组成。此外，应设有用于整个装置的具有足够能量的液压蓄能器，能在不利的15°横倾时至少操纵所有的门三次，即关闭－开启－关闭。这个操作循环应能在泵为蓄能器加入压力的状态下进行。所选用的液体应考虑该装置工作时可能达到的温度。该动力操作系统的设计应使当液压管路中发生某一故障时多于1扇门的操纵受到不利影响的可能性降至最小，该液压系统应设有用于动力操纵系统储液箱的低液位报警器和低压报警器，或其他能监控液压蓄能器内能量损耗的有效装置。这些报警器应为听觉和视觉型，并应装设在本条7.1要求的集中控制台上；或</w:t>
      </w:r>
    </w:p>
    <w:p>
      <w:pPr>
        <w:ind w:left="1260" w:leftChars="400" w:hanging="420" w:hangingChars="200"/>
        <w:rPr>
          <w:rFonts w:ascii="Times New Roman" w:hAnsi="Times New Roman"/>
          <w:color w:val="auto"/>
          <w:highlight w:val="none"/>
          <w:u w:val="none"/>
        </w:rPr>
      </w:pPr>
      <w:r>
        <w:rPr>
          <w:rFonts w:ascii="Times New Roman" w:hAnsi="Times New Roman"/>
          <w:bCs/>
          <w:color w:val="auto"/>
          <w:highlight w:val="none"/>
          <w:u w:val="none"/>
        </w:rPr>
        <w:t>.2</w:t>
      </w:r>
      <w:r>
        <w:rPr>
          <w:rFonts w:ascii="Times New Roman" w:hAnsi="Times New Roman"/>
          <w:color w:val="auto"/>
          <w:highlight w:val="none"/>
          <w:u w:val="none"/>
        </w:rPr>
        <w:t xml:space="preserve">  为每扇门装设一套具有各自动力源的独立液压系统，由一台能启闭该门的电动机和泵组成。此外，还应装有一个具有足够能量的液压蓄能器，能在不利的15°横倾时至少操作该门3次，即关闭－开启－关闭。这个操作循环应能在泵为蓄能器加入压力的状态下进行。所用液体的选择应考虑该装置工作时可能达到的温度。在本条7.1要求的集中控制台上应设一组低压报警器或其他能监控液压蓄能器内能量损耗的有效装置。在每个就地操作位置还应设置储蓄能量损耗的指示器；或</w:t>
      </w:r>
    </w:p>
    <w:p>
      <w:pPr>
        <w:ind w:left="1260" w:leftChars="400" w:hanging="420" w:hangingChars="200"/>
        <w:rPr>
          <w:rFonts w:ascii="Times New Roman" w:hAnsi="Times New Roman"/>
          <w:color w:val="auto"/>
          <w:highlight w:val="none"/>
          <w:u w:val="none"/>
        </w:rPr>
      </w:pPr>
      <w:r>
        <w:rPr>
          <w:rFonts w:ascii="Times New Roman" w:hAnsi="Times New Roman"/>
          <w:bCs/>
          <w:color w:val="auto"/>
          <w:highlight w:val="none"/>
          <w:u w:val="none"/>
        </w:rPr>
        <w:t>.3</w:t>
      </w:r>
      <w:r>
        <w:rPr>
          <w:rFonts w:ascii="Times New Roman" w:hAnsi="Times New Roman"/>
          <w:color w:val="auto"/>
          <w:highlight w:val="none"/>
          <w:u w:val="none"/>
        </w:rPr>
        <w:t xml:space="preserve">  为每扇门装设一套具有各自动力源的独立电力系统和电动机，其由一台能启闭该门的电动机组成。该动力源在主电源或应急电源发生故障时应能自动地转换为由第42.4.2条所要求的临时应急电源供电，且应具有足够的能量，以能在不利的15°横倾时至少操纵该门3次，即关闭－开启－关闭。</w:t>
      </w:r>
    </w:p>
    <w:p>
      <w:pPr>
        <w:ind w:firstLine="420" w:firstLineChars="200"/>
        <w:rPr>
          <w:rFonts w:ascii="Times New Roman" w:hAnsi="Times New Roman"/>
          <w:color w:val="auto"/>
          <w:highlight w:val="none"/>
          <w:u w:val="none"/>
        </w:rPr>
      </w:pPr>
      <w:r>
        <w:rPr>
          <w:rFonts w:ascii="Times New Roman" w:hAnsi="Times New Roman"/>
          <w:color w:val="auto"/>
          <w:highlight w:val="none"/>
          <w:u w:val="none"/>
        </w:rPr>
        <w:t>上述6.3.1、6.3.2和6.3.3所规定的各系统应符合以下要求：动力滑动水密门的动力系统应和任何其他动力系统分开。电力或液压动力操作系统（不包含液压执行器）中的某一故障应不妨碍任何门的手工操作。</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6.4</w:t>
      </w:r>
      <w:r>
        <w:rPr>
          <w:rFonts w:ascii="Times New Roman" w:hAnsi="Times New Roman"/>
          <w:color w:val="auto"/>
          <w:highlight w:val="none"/>
          <w:u w:val="none"/>
        </w:rPr>
        <w:t xml:space="preserve"> 控制手柄应装设在舱壁两侧地板以上至少1.6 m的高处，并且其布置应使通过该门的人员能保持两侧手柄均处于开启位置，防止意外操作而启动动力关闭装置。开启和关闭门时手柄的运动方向应与门移动的方向一致，并应清楚地标明。</w:t>
      </w:r>
    </w:p>
    <w:p>
      <w:pPr>
        <w:ind w:firstLine="420" w:firstLineChars="200"/>
        <w:rPr>
          <w:rFonts w:hint="eastAsia" w:ascii="Times New Roman" w:hAnsi="Times New Roman"/>
          <w:color w:val="auto"/>
          <w:highlight w:val="none"/>
          <w:u w:val="none"/>
        </w:rPr>
      </w:pPr>
      <w:r>
        <w:rPr>
          <w:rFonts w:ascii="Times New Roman" w:hAnsi="Times New Roman"/>
          <w:bCs/>
          <w:color w:val="auto"/>
          <w:highlight w:val="none"/>
          <w:u w:val="none"/>
        </w:rPr>
        <w:t>6.5</w:t>
      </w:r>
      <w:r>
        <w:rPr>
          <w:rFonts w:ascii="Times New Roman" w:hAnsi="Times New Roman"/>
          <w:color w:val="auto"/>
          <w:highlight w:val="none"/>
          <w:u w:val="none"/>
        </w:rPr>
        <w:t xml:space="preserve"> 水密门的电器设备和部件应尽可能设于舱壁甲板以上及危险区域和危险处所之外。</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6.6</w:t>
      </w:r>
      <w:r>
        <w:rPr>
          <w:rFonts w:ascii="Times New Roman" w:hAnsi="Times New Roman"/>
          <w:color w:val="auto"/>
          <w:highlight w:val="none"/>
          <w:u w:val="none"/>
        </w:rPr>
        <w:t xml:space="preserve"> 必需装设在舱壁甲板以下的电器部件的外壳应设有防止</w:t>
      </w:r>
      <w:r>
        <w:rPr>
          <w:rFonts w:hint="eastAsia" w:ascii="Times New Roman" w:hAnsi="Times New Roman"/>
          <w:color w:val="auto"/>
          <w:highlight w:val="none"/>
          <w:u w:val="none"/>
        </w:rPr>
        <w:t>浸</w:t>
      </w:r>
      <w:r>
        <w:rPr>
          <w:rFonts w:ascii="Times New Roman" w:hAnsi="Times New Roman"/>
          <w:color w:val="auto"/>
          <w:highlight w:val="none"/>
          <w:u w:val="none"/>
        </w:rPr>
        <w:t>水的适当保护措施</w:t>
      </w:r>
      <w:r>
        <w:rPr>
          <w:rStyle w:val="60"/>
          <w:rFonts w:ascii="Times New Roman" w:hAnsi="Times New Roman"/>
          <w:color w:val="auto"/>
          <w:highlight w:val="none"/>
          <w:u w:val="none"/>
        </w:rPr>
        <w:footnoteReference w:id="7"/>
      </w:r>
      <w:r>
        <w:rPr>
          <w:rFonts w:ascii="Times New Roman" w:hAnsi="Times New Roman"/>
          <w:color w:val="auto"/>
          <w:highlight w:val="none"/>
          <w:u w:val="none"/>
        </w:rPr>
        <w:t>。</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6.7</w:t>
      </w:r>
      <w:r>
        <w:rPr>
          <w:rFonts w:ascii="Times New Roman" w:hAnsi="Times New Roman"/>
          <w:color w:val="auto"/>
          <w:highlight w:val="none"/>
          <w:u w:val="none"/>
        </w:rPr>
        <w:t xml:space="preserve"> 电源、控制装置、指示器和报警电路应设置下述方式的防止故障保护，即某一扇门的电路中的故障不应引起任何其他门的电路故障。一扇门的报警器或指示器的电路中的短路或其他故障不应导致丧失该门的动力操纵。其布置应保证水渗漏进位于舱壁甲板以下的电器设备时不致使门开启。</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6.8</w:t>
      </w:r>
      <w:r>
        <w:rPr>
          <w:rFonts w:ascii="Times New Roman" w:hAnsi="Times New Roman"/>
          <w:color w:val="auto"/>
          <w:highlight w:val="none"/>
          <w:u w:val="none"/>
        </w:rPr>
        <w:t xml:space="preserve"> 动力滑动水密门的动力操纵系统或控制系统中的单一电气故障，不应导致一扇关闭的门被开启。在尽可能靠近本条6.3所要求的每台电动机的供电线路上的某一点，应连续监控电源供电的有效性。任何这种供电失效，应在本条7.1要求的集控台上发出听觉和视觉报警。</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7.1</w:t>
      </w:r>
      <w:r>
        <w:rPr>
          <w:rFonts w:ascii="Times New Roman" w:hAnsi="Times New Roman"/>
          <w:color w:val="auto"/>
          <w:highlight w:val="none"/>
          <w:u w:val="none"/>
        </w:rPr>
        <w:t xml:space="preserve"> 所有动力滑动水密门的集控台应位于符合第</w:t>
      </w:r>
      <w:r>
        <w:rPr>
          <w:rFonts w:hint="eastAsia" w:ascii="Times New Roman" w:hAnsi="Times New Roman"/>
          <w:color w:val="auto"/>
          <w:highlight w:val="none"/>
          <w:u w:val="none"/>
        </w:rPr>
        <w:t>2</w:t>
      </w:r>
      <w:r>
        <w:rPr>
          <w:rFonts w:ascii="Times New Roman" w:hAnsi="Times New Roman"/>
          <w:color w:val="auto"/>
          <w:highlight w:val="none"/>
          <w:u w:val="none"/>
        </w:rPr>
        <w:t>-2/23条的安全中心。如果安全中心位于相邻驾驶室的单独处所，集控台还应位于驾驶室。集控台应有一个“控制模式”开关，其应具有两套控制模式：一套是“就地控制”模式，其不使用自动关闭装置即能使任何门就地开启和就地关闭，另一套是“关闭门”模式，其在船舶正浮时，应能不超过60 s自动关闭任何开启着的门。该“关闭门”模式应准许门被就地开启，而当脱开就地控制机构时应能自动重新关闭该门。“控制模式”开关一般处于“就地控制”模式档内。“关闭门”模式仅在紧急情况下或为试验的目的才使用。</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7.2</w:t>
      </w:r>
      <w:r>
        <w:rPr>
          <w:rFonts w:ascii="Times New Roman" w:hAnsi="Times New Roman"/>
          <w:color w:val="auto"/>
          <w:highlight w:val="none"/>
          <w:u w:val="none"/>
        </w:rPr>
        <w:t xml:space="preserve"> 对于受第1.1.1.1条规定约束以及在2024年1月1日以前建造的船舶，驾驶室内的集控台应设有标明每扇门位置的图，并附有发光指示器，以显示出每扇门的开启或关闭状态。应使用红灯表示一扇门完全开启，而绿灯表示一扇门完全关闭。当遥控关闭门时，红灯应以闪烁表示门处于关闭过程中。指示器电路应与每扇门的控制电路分开。</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7.3</w:t>
      </w:r>
      <w:r>
        <w:rPr>
          <w:rFonts w:ascii="Times New Roman" w:hAnsi="Times New Roman"/>
          <w:color w:val="auto"/>
          <w:highlight w:val="none"/>
          <w:u w:val="none"/>
        </w:rPr>
        <w:t xml:space="preserve"> 对于2024年1月1日或以后建造的船舶，集控台应设有标明每扇动力滑动水密门位置的图，并附有发光指示器，以显示出每扇门的开启或关闭状态。应使用红灯表示一扇门完全开启，而绿灯表示一扇门完全关闭。当遥控关闭门时，红灯应以闪烁表示门处于关闭过程中。指示器电路应与每扇门的控制电路分开。如按第</w:t>
      </w:r>
      <w:r>
        <w:rPr>
          <w:rFonts w:hint="eastAsia" w:ascii="Times New Roman" w:hAnsi="Times New Roman"/>
          <w:color w:val="auto"/>
          <w:highlight w:val="none"/>
          <w:u w:val="none"/>
        </w:rPr>
        <w:t>2</w:t>
      </w:r>
      <w:r>
        <w:rPr>
          <w:rFonts w:ascii="Times New Roman" w:hAnsi="Times New Roman"/>
          <w:color w:val="auto"/>
          <w:highlight w:val="none"/>
          <w:u w:val="none"/>
        </w:rPr>
        <w:t>-1/8-1.3.1条安装船上稳性计算机，也应设有指示。</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7.4</w:t>
      </w:r>
      <w:r>
        <w:rPr>
          <w:rFonts w:ascii="Times New Roman" w:hAnsi="Times New Roman"/>
          <w:color w:val="auto"/>
          <w:highlight w:val="none"/>
          <w:u w:val="none"/>
        </w:rPr>
        <w:t xml:space="preserve"> 应不能从集控台遥控开启任何一扇门。</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8.1</w:t>
      </w:r>
      <w:r>
        <w:rPr>
          <w:rFonts w:ascii="Times New Roman" w:hAnsi="Times New Roman"/>
          <w:color w:val="auto"/>
          <w:highlight w:val="none"/>
          <w:u w:val="none"/>
        </w:rPr>
        <w:t xml:space="preserve"> 如主管机关确信必需设有此类门，可在分隔甲板间货物处所的水密舱壁上装设适当构造的水密门。此类门可为铰链式、滚动式或滑动式，但不应是遥控的。门应装在最高处并尽可能远离外板，但其靠近舷侧的垂直边缘概不得位于如第2条所规定的距外板少于船宽的1/5处，此距离在最深分舱吃水线水平面上向船中心线垂直量计。</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8.2</w:t>
      </w:r>
      <w:r>
        <w:rPr>
          <w:rFonts w:ascii="Times New Roman" w:hAnsi="Times New Roman"/>
          <w:color w:val="auto"/>
          <w:highlight w:val="none"/>
          <w:u w:val="none"/>
        </w:rPr>
        <w:t xml:space="preserve"> 如果有在航行中可以通过的门，则任何此类门应设有适当装置，以防未经授权的开启。在提出设置此类门时，主管机关应对其数量及布置予以特殊考虑。</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9</w:t>
      </w:r>
      <w:r>
        <w:rPr>
          <w:rFonts w:ascii="Times New Roman" w:hAnsi="Times New Roman"/>
          <w:color w:val="auto"/>
          <w:highlight w:val="none"/>
          <w:u w:val="none"/>
        </w:rPr>
        <w:t xml:space="preserve"> 活动门板不允许用于舱壁上，但在机器处所内除外。主管机关可允许在每一水密舱壁上设一扇宽度超过本条6.1.2规定的动力滑动水密门取代此类活动门板，但这些门在航行中除在紧急情况下船长认为必需外应保持关闭。这些门不必满足本条6.1.4关于在90 s内用手动操作装置完全关闭的要求。</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10.1</w:t>
      </w:r>
      <w:r>
        <w:rPr>
          <w:rFonts w:ascii="Times New Roman" w:hAnsi="Times New Roman"/>
          <w:color w:val="auto"/>
          <w:highlight w:val="none"/>
          <w:u w:val="none"/>
        </w:rPr>
        <w:t xml:space="preserve"> 凡由船员舱室进入机器处所的围壁通道或隧道，及用作装设管子或任何其他用途的围壁通道或隧道，如穿过水密舱壁，应为水密并应符合第16-1条的要求。在航行中用作通路的每一围壁通道或隧道，至少其一端的出口应通过保持水密到足够高度的围阱方能由舱壁甲板以上处所出入。围壁通道或隧道的另一端出入口可为一水密门。此类围壁通道或隧道不应通过防撞舱壁之后的第一个分舱舱壁。</w:t>
      </w:r>
    </w:p>
    <w:p>
      <w:pPr>
        <w:ind w:firstLine="420" w:firstLineChars="200"/>
        <w:rPr>
          <w:rFonts w:ascii="Times New Roman" w:hAnsi="Times New Roman"/>
          <w:color w:val="auto"/>
          <w:highlight w:val="none"/>
          <w:u w:val="none"/>
        </w:rPr>
      </w:pPr>
      <w:r>
        <w:rPr>
          <w:rFonts w:ascii="Times New Roman" w:hAnsi="Times New Roman"/>
          <w:bCs/>
          <w:color w:val="auto"/>
          <w:highlight w:val="none"/>
          <w:u w:val="none"/>
        </w:rPr>
        <w:t>10.2</w:t>
      </w:r>
      <w:r>
        <w:rPr>
          <w:rFonts w:ascii="Times New Roman" w:hAnsi="Times New Roman"/>
          <w:color w:val="auto"/>
          <w:highlight w:val="none"/>
          <w:u w:val="none"/>
        </w:rPr>
        <w:t xml:space="preserve"> 如需装设穿过水密舱壁的隧道，主管机关应予以特别考虑。</w:t>
      </w:r>
    </w:p>
    <w:p>
      <w:pPr>
        <w:ind w:firstLine="420" w:firstLineChars="200"/>
        <w:rPr>
          <w:rFonts w:ascii="Times New Roman" w:hAnsi="Times New Roman"/>
          <w:color w:val="auto"/>
          <w:szCs w:val="21"/>
          <w:highlight w:val="none"/>
          <w:u w:val="none"/>
        </w:rPr>
      </w:pPr>
      <w:r>
        <w:rPr>
          <w:rFonts w:ascii="Times New Roman" w:hAnsi="Times New Roman"/>
          <w:bCs/>
          <w:color w:val="auto"/>
          <w:highlight w:val="none"/>
          <w:u w:val="none"/>
        </w:rPr>
        <w:t>10.3</w:t>
      </w:r>
      <w:r>
        <w:rPr>
          <w:rFonts w:ascii="Times New Roman" w:hAnsi="Times New Roman"/>
          <w:color w:val="auto"/>
          <w:highlight w:val="none"/>
          <w:u w:val="none"/>
        </w:rPr>
        <w:t xml:space="preserve"> 如果连接冷藏货物处所和通风设备的围壁通道或强力通风隧道穿过一个以上水密舱壁，此类开口的关闭装置应由动力操纵，并应能从位于舱壁甲板上方的集控位置处将其关闭。</w:t>
      </w:r>
      <w:r>
        <w:rPr>
          <w:rFonts w:hint="eastAsia" w:ascii="Times New Roman" w:hAnsi="Times New Roman"/>
          <w:color w:val="auto"/>
          <w:highlight w:val="none"/>
          <w:u w:val="none"/>
        </w:rPr>
        <w:t>”</w:t>
      </w:r>
    </w:p>
    <w:p>
      <w:pPr>
        <w:autoSpaceDE w:val="0"/>
        <w:autoSpaceDN w:val="0"/>
        <w:adjustRightInd w:val="0"/>
        <w:ind w:firstLine="420" w:firstLineChars="200"/>
        <w:jc w:val="left"/>
        <w:rPr>
          <w:rFonts w:ascii="Times New Roman" w:hAnsi="Times New Roman"/>
          <w:kern w:val="0"/>
          <w:highlight w:val="none"/>
        </w:rPr>
      </w:pPr>
    </w:p>
    <w:p>
      <w:pPr>
        <w:autoSpaceDE w:val="0"/>
        <w:autoSpaceDN w:val="0"/>
        <w:adjustRightInd w:val="0"/>
        <w:ind w:firstLine="420" w:firstLineChars="200"/>
        <w:jc w:val="left"/>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27" w:name="_Toc521938883"/>
      <w:bookmarkStart w:id="28" w:name="_Toc22102"/>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15</w:t>
      </w:r>
      <w:r>
        <w:rPr>
          <w:rFonts w:hint="eastAsia" w:ascii="Times New Roman" w:hAnsi="Times New Roman" w:cstheme="minorBidi"/>
          <w:bCs w:val="0"/>
          <w:caps w:val="0"/>
          <w:kern w:val="0"/>
          <w:sz w:val="21"/>
          <w:szCs w:val="21"/>
          <w:highlight w:val="none"/>
          <w:lang w:val="en-US"/>
        </w:rPr>
        <w:t>条　客船舱壁甲板和货船干舷甲板以下外板上的开口</w:t>
      </w:r>
      <w:bookmarkEnd w:id="27"/>
      <w:bookmarkEnd w:id="28"/>
    </w:p>
    <w:p>
      <w:pPr>
        <w:ind w:firstLine="420" w:firstLineChars="200"/>
        <w:rPr>
          <w:rFonts w:hint="eastAsia" w:ascii="楷体" w:hAnsi="楷体" w:eastAsia="楷体"/>
          <w:color w:val="FF0000"/>
          <w:szCs w:val="21"/>
          <w:highlight w:val="none"/>
          <w:u w:val="single"/>
        </w:rPr>
      </w:pPr>
    </w:p>
    <w:p>
      <w:pPr>
        <w:ind w:firstLine="420" w:firstLineChars="200"/>
        <w:rPr>
          <w:rFonts w:hint="eastAsia" w:ascii="楷体" w:hAnsi="楷体" w:eastAsia="楷体"/>
          <w:color w:val="auto"/>
          <w:szCs w:val="21"/>
          <w:highlight w:val="none"/>
          <w:u w:val="none"/>
        </w:rPr>
      </w:pPr>
      <w:r>
        <w:rPr>
          <w:rFonts w:hint="eastAsia" w:ascii="楷体" w:hAnsi="楷体" w:eastAsia="楷体"/>
          <w:color w:val="auto"/>
          <w:szCs w:val="21"/>
          <w:highlight w:val="none"/>
          <w:u w:val="none"/>
        </w:rPr>
        <w:t>自2024年1月1日起，</w:t>
      </w:r>
      <w:r>
        <w:rPr>
          <w:rFonts w:hint="eastAsia" w:ascii="楷体" w:hAnsi="楷体" w:eastAsia="楷体"/>
          <w:color w:val="auto"/>
          <w:szCs w:val="21"/>
          <w:highlight w:val="none"/>
          <w:u w:val="none"/>
          <w:lang w:val="en-US" w:eastAsia="zh-CN"/>
        </w:rPr>
        <w:t>原</w:t>
      </w:r>
      <w:r>
        <w:rPr>
          <w:rFonts w:hint="eastAsia" w:ascii="楷体" w:hAnsi="楷体" w:eastAsia="楷体"/>
          <w:color w:val="auto"/>
          <w:szCs w:val="21"/>
          <w:highlight w:val="none"/>
          <w:u w:val="none"/>
        </w:rPr>
        <w:t>9</w:t>
      </w:r>
      <w:r>
        <w:rPr>
          <w:rFonts w:hint="eastAsia" w:ascii="楷体" w:hAnsi="楷体" w:eastAsia="楷体"/>
          <w:color w:val="auto"/>
          <w:szCs w:val="21"/>
          <w:highlight w:val="none"/>
          <w:u w:val="none"/>
          <w:lang w:eastAsia="zh-CN"/>
        </w:rPr>
        <w:t>改为</w:t>
      </w:r>
      <w:r>
        <w:rPr>
          <w:rFonts w:hint="eastAsia" w:ascii="楷体" w:hAnsi="楷体" w:eastAsia="楷体"/>
          <w:color w:val="auto"/>
          <w:szCs w:val="21"/>
          <w:highlight w:val="none"/>
          <w:u w:val="none"/>
        </w:rPr>
        <w:t>：</w:t>
      </w:r>
    </w:p>
    <w:p>
      <w:pPr>
        <w:ind w:firstLine="420" w:firstLineChars="200"/>
        <w:rPr>
          <w:rFonts w:hint="eastAsia" w:ascii="Times New Roman" w:hAnsi="Times New Roman"/>
          <w:color w:val="FF0000"/>
          <w:highlight w:val="none"/>
          <w:u w:val="single"/>
        </w:rPr>
      </w:pPr>
      <w:r>
        <w:rPr>
          <w:rFonts w:hint="eastAsia" w:ascii="Times New Roman" w:hAnsi="Times New Roman"/>
          <w:color w:val="auto"/>
          <w:highlight w:val="none"/>
          <w:u w:val="none"/>
        </w:rPr>
        <w:t>“</w:t>
      </w:r>
      <w:r>
        <w:rPr>
          <w:rFonts w:hint="eastAsia" w:ascii="Times New Roman" w:hAnsi="Times New Roman"/>
          <w:color w:val="FF0000"/>
          <w:highlight w:val="none"/>
          <w:u w:val="single"/>
        </w:rPr>
        <w:t xml:space="preserve">9  </w:t>
      </w:r>
      <w:r>
        <w:rPr>
          <w:rFonts w:ascii="Times New Roman" w:hAnsi="Times New Roman"/>
          <w:color w:val="FF0000"/>
          <w:highlight w:val="none"/>
          <w:u w:val="single"/>
        </w:rPr>
        <w:t>对于受第1.1.1.1条规定约束以及在2024年1月1日以前建造的船舶，设于客船舱壁甲板和货船干舷甲板以下的舷门、装货门及装燃料门均应水密，并且其最低点均不得低于最深分舱吃水</w:t>
      </w:r>
      <w:r>
        <w:rPr>
          <w:rFonts w:hint="eastAsia" w:ascii="Times New Roman" w:hAnsi="Times New Roman"/>
          <w:color w:val="FF0000"/>
          <w:highlight w:val="none"/>
          <w:u w:val="single"/>
        </w:rPr>
        <w:t>。”</w:t>
      </w:r>
    </w:p>
    <w:p>
      <w:pPr>
        <w:ind w:firstLine="420" w:firstLineChars="200"/>
        <w:rPr>
          <w:rFonts w:hint="eastAsia" w:ascii="Times New Roman" w:hAnsi="Times New Roman"/>
          <w:color w:val="FF0000"/>
          <w:highlight w:val="none"/>
          <w:u w:val="single"/>
        </w:rPr>
      </w:pPr>
      <w:r>
        <w:rPr>
          <w:rFonts w:hint="eastAsia" w:ascii="楷体" w:hAnsi="楷体" w:eastAsia="楷体"/>
          <w:color w:val="auto"/>
          <w:szCs w:val="21"/>
          <w:highlight w:val="none"/>
          <w:u w:val="none"/>
        </w:rPr>
        <w:t>自2024年1月1日起</w:t>
      </w:r>
      <w:r>
        <w:rPr>
          <w:rFonts w:hint="eastAsia" w:ascii="楷体" w:hAnsi="楷体" w:eastAsia="楷体"/>
          <w:color w:val="auto"/>
          <w:szCs w:val="21"/>
          <w:highlight w:val="none"/>
          <w:u w:val="none"/>
          <w:lang w:eastAsia="zh-CN"/>
        </w:rPr>
        <w:t>，在新的</w:t>
      </w:r>
      <w:r>
        <w:rPr>
          <w:rFonts w:hint="eastAsia" w:ascii="楷体" w:hAnsi="楷体" w:eastAsia="楷体"/>
          <w:color w:val="auto"/>
          <w:szCs w:val="21"/>
          <w:highlight w:val="none"/>
          <w:u w:val="none"/>
          <w:lang w:val="en-US" w:eastAsia="zh-CN"/>
        </w:rPr>
        <w:t>9</w:t>
      </w:r>
      <w:r>
        <w:rPr>
          <w:rFonts w:hint="eastAsia" w:ascii="楷体" w:hAnsi="楷体" w:eastAsia="楷体"/>
          <w:color w:val="auto"/>
          <w:szCs w:val="21"/>
          <w:highlight w:val="none"/>
          <w:u w:val="none"/>
          <w:lang w:eastAsia="zh-CN"/>
        </w:rPr>
        <w:t>之后</w:t>
      </w:r>
      <w:r>
        <w:rPr>
          <w:rFonts w:hint="eastAsia" w:ascii="楷体" w:hAnsi="楷体" w:eastAsia="楷体"/>
          <w:color w:val="auto"/>
          <w:szCs w:val="21"/>
          <w:highlight w:val="none"/>
          <w:u w:val="none"/>
          <w:lang w:val="en-US" w:eastAsia="zh-CN"/>
        </w:rPr>
        <w:t>新增10如下</w:t>
      </w:r>
      <w:r>
        <w:rPr>
          <w:rFonts w:hint="eastAsia" w:ascii="楷体" w:hAnsi="楷体" w:eastAsia="楷体"/>
          <w:color w:val="auto"/>
          <w:szCs w:val="21"/>
          <w:highlight w:val="none"/>
          <w:u w:val="none"/>
          <w:lang w:eastAsia="zh-CN"/>
        </w:rPr>
        <w:t>，删除</w:t>
      </w:r>
      <w:r>
        <w:rPr>
          <w:rFonts w:hint="eastAsia" w:ascii="楷体" w:hAnsi="楷体" w:eastAsia="楷体"/>
          <w:color w:val="auto"/>
          <w:szCs w:val="21"/>
          <w:highlight w:val="none"/>
          <w:u w:val="none"/>
          <w:lang w:val="en-US" w:eastAsia="zh-CN"/>
        </w:rPr>
        <w:t>原</w:t>
      </w:r>
      <w:r>
        <w:rPr>
          <w:rFonts w:hint="eastAsia" w:ascii="楷体" w:hAnsi="楷体" w:eastAsia="楷体"/>
          <w:color w:val="auto"/>
          <w:szCs w:val="21"/>
          <w:highlight w:val="none"/>
          <w:u w:val="none"/>
          <w:lang w:eastAsia="zh-CN"/>
        </w:rPr>
        <w:t>10.1和10.2。</w:t>
      </w:r>
    </w:p>
    <w:p>
      <w:pPr>
        <w:autoSpaceDE w:val="0"/>
        <w:autoSpaceDN w:val="0"/>
        <w:adjustRightInd w:val="0"/>
        <w:ind w:firstLine="420" w:firstLineChars="200"/>
        <w:rPr>
          <w:rFonts w:ascii="Times New Roman" w:hAnsi="Times New Roman"/>
          <w:color w:val="auto"/>
          <w:kern w:val="0"/>
          <w:highlight w:val="none"/>
          <w:u w:val="none"/>
        </w:rPr>
      </w:pPr>
      <w:r>
        <w:rPr>
          <w:rFonts w:ascii="Times New Roman" w:hAnsi="Times New Roman"/>
          <w:color w:val="FF0000"/>
          <w:highlight w:val="none"/>
          <w:u w:val="single"/>
        </w:rPr>
        <w:t>10  对于2024年1月1日或以后建造的船舶，客船舱壁甲板和货船干舷甲板以下船舷的装货门和其他相似开口（如舷门和装燃料门）设有的门应设计成确保与周围外板具有相同的水密和结构完整性。除非主管机关另外允许，这些开口应向外开启。开口的数量应在适应船舶设计及船舶正常作业的情况下减至最少，并且其最低点均不得低于最深分舱吃水。</w:t>
      </w:r>
      <w:r>
        <w:rPr>
          <w:rFonts w:hint="eastAsia" w:ascii="Times New Roman" w:hAnsi="Times New Roman"/>
          <w:color w:val="auto"/>
          <w:highlight w:val="none"/>
          <w:u w:val="none"/>
        </w:rPr>
        <w:t>”</w:t>
      </w:r>
    </w:p>
    <w:p>
      <w:pPr>
        <w:ind w:firstLine="420" w:firstLineChars="2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9  设于客船舱壁甲板和货船干舷甲板以下的舷门、装货门及装燃料门均应水密，并且其最低点无论如何不得低于最深分舱吃水。</w:t>
      </w:r>
    </w:p>
    <w:p>
      <w:pPr>
        <w:ind w:firstLine="420" w:firstLineChars="2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10.1  每一出灰管、垃圾管等的舷内开口均应设有有效盖子。</w:t>
      </w:r>
    </w:p>
    <w:p>
      <w:pPr>
        <w:ind w:firstLine="420" w:firstLineChars="200"/>
        <w:rPr>
          <w:rFonts w:hint="eastAsia" w:ascii="楷体" w:hAnsi="楷体" w:eastAsia="楷体"/>
          <w:strike/>
          <w:dstrike w:val="0"/>
          <w:color w:val="auto"/>
          <w:szCs w:val="21"/>
          <w:highlight w:val="none"/>
          <w:u w:val="none"/>
        </w:rPr>
      </w:pPr>
      <w:r>
        <w:rPr>
          <w:rFonts w:ascii="Times New Roman" w:hAnsi="Times New Roman"/>
          <w:strike/>
          <w:dstrike w:val="0"/>
          <w:color w:val="auto"/>
          <w:szCs w:val="21"/>
          <w:highlight w:val="none"/>
        </w:rPr>
        <w:t>10.2  如舷内开口位于客船舱壁甲板和货船干舷甲板以下，此盖应为水密；此外，在最深分舱吃水以上易于到达处的排出管上，应设有一个自动止回阀。</w:t>
      </w:r>
    </w:p>
    <w:p>
      <w:pPr>
        <w:autoSpaceDE w:val="0"/>
        <w:autoSpaceDN w:val="0"/>
        <w:adjustRightInd w:val="0"/>
        <w:ind w:firstLine="420" w:firstLineChars="200"/>
        <w:jc w:val="left"/>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ascii="Times New Roman" w:hAnsi="Times New Roman"/>
          <w:kern w:val="0"/>
          <w:highlight w:val="none"/>
        </w:rPr>
      </w:pPr>
      <w:bookmarkStart w:id="29" w:name="_Toc10691"/>
      <w:bookmarkStart w:id="30" w:name="_Toc521938884"/>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16</w:t>
      </w:r>
      <w:r>
        <w:rPr>
          <w:rFonts w:hint="eastAsia" w:ascii="Times New Roman" w:hAnsi="Times New Roman" w:cstheme="minorBidi"/>
          <w:bCs w:val="0"/>
          <w:caps w:val="0"/>
          <w:kern w:val="0"/>
          <w:sz w:val="21"/>
          <w:szCs w:val="21"/>
          <w:highlight w:val="none"/>
          <w:lang w:val="en-US"/>
        </w:rPr>
        <w:t>条　水密</w:t>
      </w:r>
      <w:r>
        <w:rPr>
          <w:rFonts w:hint="eastAsia" w:ascii="Times New Roman" w:hAnsi="Times New Roman" w:cstheme="minorBidi"/>
          <w:bCs w:val="0"/>
          <w:caps w:val="0"/>
          <w:kern w:val="0"/>
          <w:sz w:val="21"/>
          <w:szCs w:val="21"/>
          <w:highlight w:val="none"/>
          <w:lang w:val="en-US" w:eastAsia="zh-CN"/>
        </w:rPr>
        <w:t>关闭装置</w:t>
      </w:r>
      <w:r>
        <w:rPr>
          <w:rFonts w:hint="eastAsia" w:ascii="Times New Roman" w:hAnsi="Times New Roman" w:cstheme="minorBidi"/>
          <w:bCs w:val="0"/>
          <w:caps w:val="0"/>
          <w:kern w:val="0"/>
          <w:sz w:val="21"/>
          <w:szCs w:val="21"/>
          <w:highlight w:val="none"/>
          <w:lang w:val="en-US"/>
        </w:rPr>
        <w:t>的构造和初次试验</w:t>
      </w:r>
      <w:bookmarkEnd w:id="29"/>
      <w:bookmarkEnd w:id="30"/>
    </w:p>
    <w:p>
      <w:pPr>
        <w:autoSpaceDE w:val="0"/>
        <w:autoSpaceDN w:val="0"/>
        <w:adjustRightInd w:val="0"/>
        <w:rPr>
          <w:rFonts w:ascii="Times New Roman" w:hAnsi="Times New Roman"/>
          <w:kern w:val="0"/>
          <w:highlight w:val="none"/>
        </w:rPr>
      </w:pPr>
    </w:p>
    <w:p>
      <w:pPr>
        <w:ind w:firstLine="420" w:firstLineChars="200"/>
        <w:rPr>
          <w:rFonts w:hint="eastAsia" w:ascii="楷体" w:hAnsi="楷体" w:eastAsia="楷体"/>
          <w:color w:val="auto"/>
          <w:szCs w:val="21"/>
          <w:highlight w:val="none"/>
          <w:u w:val="none"/>
        </w:rPr>
      </w:pPr>
      <w:r>
        <w:rPr>
          <w:rFonts w:hint="eastAsia" w:ascii="楷体" w:hAnsi="楷体" w:eastAsia="楷体"/>
          <w:color w:val="auto"/>
          <w:szCs w:val="21"/>
          <w:highlight w:val="none"/>
          <w:u w:val="none"/>
        </w:rPr>
        <w:t>自2024年1月1日起，</w:t>
      </w:r>
      <w:r>
        <w:rPr>
          <w:rFonts w:hint="eastAsia" w:ascii="楷体" w:hAnsi="楷体" w:eastAsia="楷体"/>
          <w:color w:val="auto"/>
          <w:szCs w:val="21"/>
          <w:highlight w:val="none"/>
          <w:u w:val="none"/>
          <w:lang w:val="en-US" w:eastAsia="zh-CN"/>
        </w:rPr>
        <w:t>原</w:t>
      </w:r>
      <w:r>
        <w:rPr>
          <w:rFonts w:hint="eastAsia" w:ascii="楷体" w:hAnsi="楷体" w:eastAsia="楷体"/>
          <w:color w:val="auto"/>
          <w:szCs w:val="21"/>
          <w:highlight w:val="none"/>
          <w:u w:val="none"/>
        </w:rPr>
        <w:t>1.1</w:t>
      </w:r>
      <w:r>
        <w:rPr>
          <w:rFonts w:hint="eastAsia" w:ascii="楷体" w:hAnsi="楷体" w:eastAsia="楷体"/>
          <w:color w:val="auto"/>
          <w:szCs w:val="21"/>
          <w:highlight w:val="none"/>
          <w:u w:val="none"/>
          <w:lang w:eastAsia="zh-CN"/>
        </w:rPr>
        <w:t>改为</w:t>
      </w:r>
      <w:r>
        <w:rPr>
          <w:rFonts w:hint="eastAsia" w:ascii="楷体" w:hAnsi="楷体" w:eastAsia="楷体"/>
          <w:color w:val="auto"/>
          <w:szCs w:val="21"/>
          <w:highlight w:val="none"/>
          <w:u w:val="none"/>
        </w:rPr>
        <w:t>：</w:t>
      </w:r>
    </w:p>
    <w:p>
      <w:pPr>
        <w:autoSpaceDE w:val="0"/>
        <w:autoSpaceDN w:val="0"/>
        <w:adjustRightInd w:val="0"/>
        <w:ind w:firstLine="420" w:firstLineChars="200"/>
        <w:jc w:val="left"/>
        <w:rPr>
          <w:rFonts w:hint="eastAsia" w:ascii="Times New Roman" w:hAnsi="Times New Roman"/>
          <w:color w:val="auto"/>
          <w:highlight w:val="none"/>
          <w:u w:val="none"/>
        </w:rPr>
      </w:pPr>
      <w:r>
        <w:rPr>
          <w:rFonts w:hint="eastAsia" w:ascii="Times New Roman" w:hAnsi="Times New Roman"/>
          <w:color w:val="auto"/>
          <w:highlight w:val="none"/>
          <w:u w:val="none"/>
        </w:rPr>
        <w:t>“</w:t>
      </w:r>
      <w:r>
        <w:rPr>
          <w:rFonts w:hint="eastAsia" w:ascii="Times New Roman" w:hAnsi="Times New Roman"/>
          <w:color w:val="FF0000"/>
          <w:highlight w:val="none"/>
          <w:u w:val="single"/>
        </w:rPr>
        <w:t xml:space="preserve">1.1  </w:t>
      </w:r>
      <w:r>
        <w:rPr>
          <w:rFonts w:ascii="Times New Roman" w:hAnsi="Times New Roman"/>
          <w:color w:val="FF0000"/>
          <w:highlight w:val="none"/>
          <w:u w:val="single"/>
        </w:rPr>
        <w:t>本条所述的所有水密关闭装置，例如门、舱口、舷窗、舷门和装货门、阀和管子的设计、材料及构造，均应使主管机关满意</w:t>
      </w:r>
      <w:r>
        <w:rPr>
          <w:rFonts w:hint="eastAsia" w:ascii="Times New Roman" w:hAnsi="Times New Roman"/>
          <w:color w:val="FF0000"/>
          <w:highlight w:val="none"/>
          <w:u w:val="single"/>
        </w:rPr>
        <w:t>；</w:t>
      </w:r>
      <w:r>
        <w:rPr>
          <w:rFonts w:hint="eastAsia" w:ascii="Times New Roman" w:hAnsi="Times New Roman"/>
          <w:color w:val="auto"/>
          <w:highlight w:val="none"/>
          <w:u w:val="none"/>
        </w:rPr>
        <w:t>”</w:t>
      </w:r>
    </w:p>
    <w:p>
      <w:pPr>
        <w:autoSpaceDE w:val="0"/>
        <w:autoSpaceDN w:val="0"/>
        <w:adjustRightInd w:val="0"/>
        <w:ind w:firstLine="420" w:firstLineChars="200"/>
        <w:jc w:val="left"/>
        <w:rPr>
          <w:rFonts w:hint="eastAsia" w:ascii="Times New Roman" w:hAnsi="Times New Roman"/>
          <w:strike w:val="0"/>
          <w:color w:val="auto"/>
          <w:kern w:val="0"/>
          <w:highlight w:val="none"/>
        </w:rPr>
      </w:pPr>
      <w:r>
        <w:rPr>
          <w:rFonts w:ascii="Times New Roman" w:hAnsi="Times New Roman"/>
          <w:strike/>
          <w:dstrike w:val="0"/>
          <w:color w:val="auto"/>
          <w:kern w:val="0"/>
          <w:highlight w:val="none"/>
        </w:rPr>
        <w:t>1.1 本条所述的所有水密关闭装置，例如门、舱口、舷窗、舷门和装货门、阀、管子、出灰管及垃圾管的设计、材料及构造，均应使主管机关满意；</w:t>
      </w:r>
    </w:p>
    <w:p>
      <w:pPr>
        <w:autoSpaceDE w:val="0"/>
        <w:autoSpaceDN w:val="0"/>
        <w:adjustRightInd w:val="0"/>
        <w:ind w:firstLine="420" w:firstLineChars="200"/>
        <w:jc w:val="left"/>
        <w:rPr>
          <w:rFonts w:ascii="Times New Roman" w:hAnsi="Times New Roman"/>
          <w:kern w:val="0"/>
          <w:highlight w:val="none"/>
        </w:rPr>
      </w:pPr>
    </w:p>
    <w:p>
      <w:pPr>
        <w:autoSpaceDE w:val="0"/>
        <w:autoSpaceDN w:val="0"/>
        <w:adjustRightInd w:val="0"/>
        <w:ind w:firstLine="420" w:firstLineChars="200"/>
        <w:jc w:val="left"/>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31" w:name="_Toc521938886"/>
      <w:bookmarkStart w:id="32" w:name="_Toc17715"/>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17</w:t>
      </w:r>
      <w:r>
        <w:rPr>
          <w:rFonts w:hint="eastAsia" w:ascii="Times New Roman" w:hAnsi="Times New Roman" w:cstheme="minorBidi"/>
          <w:bCs w:val="0"/>
          <w:caps w:val="0"/>
          <w:kern w:val="0"/>
          <w:sz w:val="21"/>
          <w:szCs w:val="21"/>
          <w:highlight w:val="none"/>
          <w:lang w:val="en-US"/>
        </w:rPr>
        <w:t>条　客船舱壁甲板以上的内部水密完整性</w:t>
      </w:r>
      <w:bookmarkEnd w:id="31"/>
      <w:bookmarkEnd w:id="32"/>
    </w:p>
    <w:p>
      <w:pPr>
        <w:autoSpaceDE w:val="0"/>
        <w:autoSpaceDN w:val="0"/>
        <w:adjustRightInd w:val="0"/>
        <w:ind w:firstLine="420" w:firstLineChars="200"/>
        <w:jc w:val="center"/>
        <w:rPr>
          <w:rFonts w:ascii="Times New Roman" w:hAnsi="Times New Roman"/>
          <w:kern w:val="0"/>
          <w:highlight w:val="none"/>
        </w:rPr>
      </w:pPr>
    </w:p>
    <w:p>
      <w:pPr>
        <w:autoSpaceDE w:val="0"/>
        <w:autoSpaceDN w:val="0"/>
        <w:adjustRightInd w:val="0"/>
        <w:ind w:firstLine="420" w:firstLineChars="200"/>
        <w:jc w:val="left"/>
        <w:rPr>
          <w:rFonts w:hint="eastAsia" w:ascii="楷体_GB2312" w:eastAsia="楷体_GB2312"/>
          <w:highlight w:val="none"/>
        </w:rPr>
      </w:pPr>
      <w:r>
        <w:rPr>
          <w:rFonts w:hint="eastAsia" w:ascii="楷体_GB2312" w:eastAsia="楷体_GB2312"/>
          <w:highlight w:val="none"/>
        </w:rPr>
        <w:t>自2024年1月1日起，</w:t>
      </w:r>
      <w:r>
        <w:rPr>
          <w:rFonts w:hint="eastAsia" w:ascii="楷体_GB2312" w:eastAsia="楷体_GB2312"/>
          <w:highlight w:val="none"/>
          <w:lang w:val="en-US" w:eastAsia="zh-CN"/>
        </w:rPr>
        <w:t>原</w:t>
      </w:r>
      <w:r>
        <w:rPr>
          <w:rFonts w:hint="eastAsia" w:ascii="楷体_GB2312" w:eastAsia="楷体_GB2312"/>
          <w:highlight w:val="none"/>
        </w:rPr>
        <w:t>1</w:t>
      </w:r>
      <w:r>
        <w:rPr>
          <w:rFonts w:hint="eastAsia" w:ascii="楷体_GB2312" w:eastAsia="楷体_GB2312"/>
          <w:highlight w:val="none"/>
          <w:lang w:eastAsia="zh-CN"/>
        </w:rPr>
        <w:t>改为</w:t>
      </w:r>
      <w:r>
        <w:rPr>
          <w:rFonts w:hint="eastAsia" w:ascii="楷体_GB2312" w:eastAsia="楷体_GB2312"/>
          <w:highlight w:val="none"/>
        </w:rPr>
        <w:t>：</w:t>
      </w:r>
    </w:p>
    <w:p>
      <w:pPr>
        <w:ind w:firstLine="420" w:firstLineChars="200"/>
        <w:rPr>
          <w:rFonts w:hint="eastAsia"/>
          <w:color w:val="auto"/>
          <w:szCs w:val="21"/>
          <w:highlight w:val="none"/>
          <w:u w:val="none"/>
        </w:rPr>
      </w:pPr>
      <w:r>
        <w:rPr>
          <w:rFonts w:hint="eastAsia"/>
          <w:color w:val="auto"/>
          <w:szCs w:val="21"/>
          <w:highlight w:val="none"/>
          <w:u w:val="none"/>
        </w:rPr>
        <w:t>“</w:t>
      </w:r>
      <w:r>
        <w:rPr>
          <w:rFonts w:ascii="Times New Roman" w:hAnsi="Times New Roman"/>
          <w:color w:val="auto"/>
          <w:highlight w:val="none"/>
          <w:u w:val="none"/>
        </w:rPr>
        <w:t>1</w:t>
      </w:r>
      <w:r>
        <w:rPr>
          <w:rFonts w:hint="eastAsia" w:ascii="Times New Roman" w:hAnsi="Times New Roman"/>
          <w:color w:val="auto"/>
          <w:highlight w:val="none"/>
          <w:u w:val="none"/>
        </w:rPr>
        <w:t>　</w:t>
      </w:r>
      <w:r>
        <w:rPr>
          <w:rFonts w:hint="eastAsia" w:ascii="Times New Roman" w:hAnsi="Times New Roman"/>
          <w:color w:val="FF0000"/>
          <w:highlight w:val="none"/>
          <w:u w:val="single"/>
        </w:rPr>
        <w:t>对于受第1.1.1.1条规定约束以及在2024年1月1日以前建造的客船，主管机关可要求采取一切合理和可行的措施，以限制海水在舱壁甲板以上进入及漫流。此类措施可包括装设局部舱壁或桁材。当局部水密舱壁和桁材装于水密舱壁上方或附近的舱壁甲板上时，应与外板及舱壁甲板水密连接，以使在船舶破损横倾的情况下限制海水沿甲板漫流。如局部水密舱壁与其下方的舱壁错开，则两者间的舱壁甲板应作</w:t>
      </w:r>
      <w:r>
        <w:rPr>
          <w:rFonts w:hint="eastAsia"/>
          <w:color w:val="FF0000"/>
          <w:highlight w:val="none"/>
          <w:u w:val="single"/>
        </w:rPr>
        <w:t>有效的水密。如开口、管子、排水管和电缆等通过舱壁甲板浸没范围内的局部水密舱壁，应设有保证舱壁甲板以上结构水密完整性的设施。</w:t>
      </w:r>
      <w:r>
        <w:rPr>
          <w:color w:val="FF0000"/>
          <w:highlight w:val="none"/>
          <w:u w:val="single"/>
          <w:vertAlign w:val="superscript"/>
        </w:rPr>
        <w:footnoteReference w:id="8"/>
      </w:r>
      <w:r>
        <w:rPr>
          <w:rFonts w:hint="eastAsia"/>
          <w:color w:val="auto"/>
          <w:szCs w:val="21"/>
          <w:highlight w:val="none"/>
          <w:u w:val="none"/>
        </w:rPr>
        <w:t>”</w:t>
      </w:r>
    </w:p>
    <w:p>
      <w:pPr>
        <w:ind w:firstLine="420" w:firstLineChars="200"/>
        <w:rPr>
          <w:rFonts w:hint="eastAsia"/>
          <w:color w:val="auto"/>
          <w:szCs w:val="21"/>
          <w:highlight w:val="none"/>
          <w:u w:val="none"/>
        </w:rPr>
      </w:pPr>
    </w:p>
    <w:p>
      <w:pPr>
        <w:autoSpaceDE w:val="0"/>
        <w:autoSpaceDN w:val="0"/>
        <w:adjustRightInd w:val="0"/>
        <w:ind w:firstLine="420" w:firstLineChars="200"/>
        <w:jc w:val="left"/>
        <w:rPr>
          <w:rFonts w:hint="eastAsia" w:ascii="Times New Roman" w:hAnsi="Times New Roman"/>
          <w:kern w:val="0"/>
          <w:highlight w:val="none"/>
        </w:rPr>
      </w:pPr>
      <w:r>
        <w:rPr>
          <w:rFonts w:hint="eastAsia" w:ascii="楷体_GB2312" w:eastAsia="楷体_GB2312"/>
          <w:highlight w:val="none"/>
        </w:rPr>
        <w:t>自2024年1月1日起，在</w:t>
      </w:r>
      <w:r>
        <w:rPr>
          <w:rFonts w:hint="eastAsia" w:ascii="楷体_GB2312" w:eastAsia="楷体_GB2312"/>
          <w:highlight w:val="none"/>
          <w:lang w:eastAsia="zh-CN"/>
        </w:rPr>
        <w:t>原</w:t>
      </w:r>
      <w:r>
        <w:rPr>
          <w:rFonts w:hint="eastAsia" w:ascii="楷体_GB2312" w:eastAsia="楷体_GB2312"/>
          <w:highlight w:val="none"/>
          <w:lang w:val="en-US" w:eastAsia="zh-CN"/>
        </w:rPr>
        <w:t>1</w:t>
      </w:r>
      <w:r>
        <w:rPr>
          <w:rFonts w:hint="eastAsia" w:ascii="楷体_GB2312" w:eastAsia="楷体_GB2312"/>
          <w:highlight w:val="none"/>
        </w:rPr>
        <w:t>之后新增</w:t>
      </w:r>
      <w:r>
        <w:rPr>
          <w:rFonts w:hint="eastAsia" w:ascii="楷体_GB2312" w:eastAsia="楷体_GB2312"/>
          <w:highlight w:val="none"/>
          <w:lang w:val="en-US" w:eastAsia="zh-CN"/>
        </w:rPr>
        <w:t>如下2和3，原段落编号“2～5”依次改为“4～7”。</w:t>
      </w:r>
    </w:p>
    <w:p>
      <w:pPr>
        <w:ind w:firstLine="420" w:firstLineChars="200"/>
        <w:rPr>
          <w:rFonts w:hint="eastAsia" w:ascii="Times New Roman" w:hAnsi="Times New Roman"/>
          <w:color w:val="FF0000"/>
          <w:highlight w:val="none"/>
          <w:u w:val="single"/>
        </w:rPr>
      </w:pPr>
      <w:r>
        <w:rPr>
          <w:rFonts w:hint="eastAsia"/>
          <w:color w:val="auto"/>
          <w:highlight w:val="none"/>
          <w:u w:val="none"/>
          <w:lang w:eastAsia="zh-CN"/>
        </w:rPr>
        <w:t>“</w:t>
      </w:r>
      <w:r>
        <w:rPr>
          <w:rFonts w:hint="eastAsia" w:ascii="Times New Roman" w:hAnsi="Times New Roman"/>
          <w:color w:val="FF0000"/>
          <w:highlight w:val="none"/>
          <w:u w:val="single"/>
        </w:rPr>
        <w:t>2  对于2024年1月1日或以后建造的船舶，应根据为符合B-1部分稳性要求和B-2部分（如适用）所需的设计布置进行为限制海水在舱壁甲板以上进入及漫流的内部水密分舱布置。管子、排水管和电缆等通过的内部水密限界面，如在造成达到的分舱指数A的破损情况的浸水的任何中间或最终阶段浸没，应设有确保其水密完整性的布置。</w:t>
      </w:r>
    </w:p>
    <w:p>
      <w:pPr>
        <w:ind w:firstLine="420" w:firstLineChars="200"/>
        <w:rPr>
          <w:rFonts w:hint="eastAsia" w:eastAsiaTheme="minorEastAsia"/>
          <w:color w:val="auto"/>
          <w:highlight w:val="none"/>
          <w:u w:val="none"/>
          <w:lang w:eastAsia="zh-CN"/>
        </w:rPr>
      </w:pPr>
      <w:r>
        <w:rPr>
          <w:rFonts w:hint="eastAsia" w:ascii="Times New Roman" w:hAnsi="Times New Roman"/>
          <w:color w:val="FF0000"/>
          <w:highlight w:val="none"/>
          <w:u w:val="single"/>
        </w:rPr>
        <w:t>3  对于2024年1月1日或以后建造的船舶，舱壁甲板以上，以及最恶劣的浸进水的中间或最终阶段水线以上的内部水密分舱布置的门，当在造成达到的分舱指数A的任何破损情况的正稳性要求范围内浸没时，应能阻止水的通过。如能从驾驶室远程关闭，这些门可保持开启。它们应随时可立即关闭。</w:t>
      </w:r>
      <w:r>
        <w:rPr>
          <w:rFonts w:hint="eastAsia"/>
          <w:color w:val="auto"/>
          <w:highlight w:val="none"/>
          <w:u w:val="none"/>
          <w:lang w:eastAsia="zh-CN"/>
        </w:rPr>
        <w:t>”</w:t>
      </w:r>
    </w:p>
    <w:p>
      <w:pPr>
        <w:ind w:firstLine="420" w:firstLineChars="200"/>
        <w:rPr>
          <w:rFonts w:ascii="Times New Roman" w:hAnsi="Times New Roman"/>
          <w:strike/>
          <w:dstrike w:val="0"/>
          <w:color w:val="auto"/>
          <w:szCs w:val="21"/>
        </w:rPr>
      </w:pPr>
      <w:r>
        <w:rPr>
          <w:rFonts w:ascii="Times New Roman" w:hAnsi="Times New Roman"/>
          <w:strike/>
          <w:dstrike w:val="0"/>
          <w:color w:val="auto"/>
          <w:szCs w:val="21"/>
        </w:rPr>
        <w:t>1  主管机关可要求采取一切合理和可行的措施，以限制海水在舱壁甲板以上进入及漫流。此类措施可包括装设局部舱壁或桁材。当局部水密舱壁和桁材装于水密舱壁上方或附近的舱壁甲板上时，应与外板及舱壁甲板水密连接，以使在船舶破损横倾的情况下限制海水沿甲板漫流。如局部水密舱壁与其下方的舱壁错开，则两者间的舱壁甲板应作有效的水密。如开口、管子、排水管和电缆等通过舱壁甲板浸没范围内的局部水密舱壁，应设有保证舱壁甲板以上结构水密完整性的设施。</w:t>
      </w:r>
      <w:r>
        <w:rPr>
          <w:rFonts w:ascii="Times New Roman" w:hAnsi="Times New Roman"/>
          <w:strike/>
          <w:dstrike w:val="0"/>
          <w:color w:val="auto"/>
          <w:szCs w:val="21"/>
          <w:vertAlign w:val="superscript"/>
        </w:rPr>
        <w:footnoteReference w:id="9"/>
      </w:r>
    </w:p>
    <w:p>
      <w:pPr>
        <w:autoSpaceDE w:val="0"/>
        <w:autoSpaceDN w:val="0"/>
        <w:adjustRightInd w:val="0"/>
        <w:ind w:firstLine="420" w:firstLineChars="200"/>
        <w:jc w:val="left"/>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33" w:name="_Toc29934"/>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17-1</w:t>
      </w:r>
      <w:r>
        <w:rPr>
          <w:rFonts w:hint="eastAsia" w:ascii="Times New Roman" w:hAnsi="Times New Roman" w:cstheme="minorBidi"/>
          <w:bCs w:val="0"/>
          <w:caps w:val="0"/>
          <w:kern w:val="0"/>
          <w:sz w:val="21"/>
          <w:szCs w:val="21"/>
          <w:highlight w:val="none"/>
          <w:lang w:val="en-US"/>
        </w:rPr>
        <w:t>条　客滚船船体和上层建筑的完整性、破损的预防和控制</w:t>
      </w:r>
      <w:bookmarkEnd w:id="33"/>
    </w:p>
    <w:p>
      <w:pPr>
        <w:ind w:firstLine="420"/>
        <w:rPr>
          <w:highlight w:val="none"/>
        </w:rPr>
      </w:pPr>
    </w:p>
    <w:p>
      <w:pPr>
        <w:ind w:firstLine="420" w:firstLineChars="200"/>
        <w:rPr>
          <w:rFonts w:hint="eastAsia" w:ascii="楷体" w:hAnsi="楷体" w:eastAsia="楷体"/>
          <w:bCs/>
          <w:color w:val="FF0000"/>
          <w:highlight w:val="none"/>
          <w:u w:val="single"/>
        </w:rPr>
      </w:pPr>
      <w:r>
        <w:rPr>
          <w:rFonts w:hint="eastAsia" w:ascii="楷体_GB2312" w:eastAsia="楷体_GB2312"/>
          <w:highlight w:val="none"/>
        </w:rPr>
        <w:t>自2024年1月1日起，</w:t>
      </w:r>
      <w:r>
        <w:rPr>
          <w:rFonts w:hint="eastAsia" w:ascii="楷体_GB2312" w:eastAsia="楷体_GB2312"/>
          <w:highlight w:val="none"/>
          <w:lang w:val="en-US" w:eastAsia="zh-CN"/>
        </w:rPr>
        <w:t>原1.1，1.2和1.3</w:t>
      </w:r>
      <w:r>
        <w:rPr>
          <w:rFonts w:hint="eastAsia" w:ascii="楷体_GB2312" w:eastAsia="楷体_GB2312"/>
          <w:highlight w:val="none"/>
          <w:lang w:eastAsia="zh-CN"/>
        </w:rPr>
        <w:t>改为</w:t>
      </w:r>
      <w:r>
        <w:rPr>
          <w:rFonts w:hint="eastAsia" w:ascii="楷体_GB2312" w:eastAsia="楷体_GB2312"/>
          <w:highlight w:val="none"/>
        </w:rPr>
        <w:t>：</w:t>
      </w:r>
    </w:p>
    <w:p>
      <w:pPr>
        <w:ind w:firstLine="420" w:firstLineChars="200"/>
        <w:rPr>
          <w:rFonts w:hint="eastAsia" w:ascii="Times New Roman" w:hAnsi="Times New Roman"/>
          <w:color w:val="FF0000"/>
          <w:highlight w:val="none"/>
          <w:u w:val="none"/>
        </w:rPr>
      </w:pPr>
      <w:r>
        <w:rPr>
          <w:rFonts w:hint="eastAsia" w:ascii="Times New Roman" w:hAnsi="Times New Roman"/>
          <w:color w:val="auto"/>
          <w:highlight w:val="none"/>
          <w:u w:val="none"/>
        </w:rPr>
        <w:t>“</w:t>
      </w:r>
      <w:r>
        <w:rPr>
          <w:rFonts w:hint="eastAsia" w:ascii="Times New Roman" w:hAnsi="Times New Roman"/>
          <w:color w:val="FF0000"/>
          <w:highlight w:val="none"/>
          <w:u w:val="none"/>
        </w:rPr>
        <w:t>1.1  除非满足本条1.2或1.3关于通道的规定，所有从滚装甲板通向舱壁甲板以下处所的通道口的最低点至少应高出舱壁甲板2.5 m。</w:t>
      </w:r>
    </w:p>
    <w:p>
      <w:pPr>
        <w:ind w:firstLine="420" w:firstLineChars="200"/>
        <w:rPr>
          <w:rFonts w:hint="eastAsia" w:ascii="Times New Roman" w:hAnsi="Times New Roman"/>
          <w:color w:val="FF0000"/>
          <w:highlight w:val="none"/>
          <w:u w:val="none"/>
        </w:rPr>
      </w:pPr>
      <w:r>
        <w:rPr>
          <w:rFonts w:hint="eastAsia" w:ascii="Times New Roman" w:hAnsi="Times New Roman"/>
          <w:color w:val="FF0000"/>
          <w:highlight w:val="none"/>
          <w:u w:val="none"/>
        </w:rPr>
        <w:t>1.2  在设有通向舱壁甲板以下处所的车辆坡道的情况下，坡道开口关闭时应能保持风雨密，以防止下层处所浸水，并在驾驶室设有报警与开启/关闭指示装置。如甲板用作根据第7-2.6条的水密水平限界面，关闭措施应水密。</w:t>
      </w:r>
    </w:p>
    <w:p>
      <w:pPr>
        <w:ind w:firstLine="420" w:firstLineChars="200"/>
        <w:rPr>
          <w:rFonts w:hint="eastAsia" w:ascii="Times New Roman" w:hAnsi="Times New Roman"/>
          <w:color w:val="auto"/>
          <w:highlight w:val="none"/>
          <w:u w:val="none"/>
        </w:rPr>
      </w:pPr>
      <w:r>
        <w:rPr>
          <w:rFonts w:hint="eastAsia" w:ascii="Times New Roman" w:hAnsi="Times New Roman"/>
          <w:color w:val="FF0000"/>
          <w:highlight w:val="none"/>
          <w:u w:val="none"/>
        </w:rPr>
        <w:t>1.3  除满足第23.3和23.6条要求外，主管机关可以允许为船上的某些必需的工作（如机器与物料的移动）设置通向舱壁甲板以下处所的特别通道，但该通道应为水密，并在驾驶室设有报警与开启/关闭指示装置。</w:t>
      </w:r>
      <w:r>
        <w:rPr>
          <w:rFonts w:hint="eastAsia" w:ascii="Times New Roman" w:hAnsi="Times New Roman"/>
          <w:color w:val="auto"/>
          <w:highlight w:val="none"/>
          <w:u w:val="none"/>
        </w:rPr>
        <w:t>”</w:t>
      </w:r>
    </w:p>
    <w:p>
      <w:pPr>
        <w:ind w:firstLine="420" w:firstLineChars="2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 xml:space="preserve">1.1  </w:t>
      </w:r>
      <w:r>
        <w:rPr>
          <w:rFonts w:ascii="Times New Roman" w:hAnsi="Times New Roman"/>
          <w:strike/>
          <w:dstrike w:val="0"/>
          <w:color w:val="auto"/>
          <w:highlight w:val="none"/>
        </w:rPr>
        <w:t>除非根据1.2和1.3的规定，所有通向舱壁甲板以下处所的通道口的最低点至少应高出舱壁甲板2.5米</w:t>
      </w:r>
      <w:r>
        <w:rPr>
          <w:rFonts w:ascii="Times New Roman" w:hAnsi="Times New Roman"/>
          <w:strike/>
          <w:dstrike w:val="0"/>
          <w:color w:val="auto"/>
          <w:szCs w:val="21"/>
          <w:highlight w:val="none"/>
        </w:rPr>
        <w:t>。</w:t>
      </w:r>
    </w:p>
    <w:p>
      <w:pPr>
        <w:ind w:firstLine="420" w:firstLineChars="200"/>
        <w:rPr>
          <w:rFonts w:ascii="Times New Roman" w:hAnsi="Times New Roman"/>
          <w:strike/>
          <w:dstrike w:val="0"/>
          <w:color w:val="auto"/>
          <w:szCs w:val="21"/>
        </w:rPr>
      </w:pPr>
      <w:r>
        <w:rPr>
          <w:rFonts w:ascii="Times New Roman" w:hAnsi="Times New Roman"/>
          <w:strike/>
          <w:dstrike w:val="0"/>
          <w:color w:val="auto"/>
          <w:szCs w:val="21"/>
          <w:highlight w:val="none"/>
        </w:rPr>
        <w:t>1.2  在设有通向舱壁甲板以下处所的车辆坡道的情况</w:t>
      </w:r>
      <w:r>
        <w:rPr>
          <w:rFonts w:ascii="Times New Roman" w:hAnsi="Times New Roman"/>
          <w:strike/>
          <w:dstrike w:val="0"/>
          <w:color w:val="auto"/>
          <w:szCs w:val="21"/>
        </w:rPr>
        <w:t>下， 坡道开口关闭时应能保持风雨密，以防止下层处所进水，并在驾驶室设有报警与指示装置。</w:t>
      </w:r>
    </w:p>
    <w:p>
      <w:pPr>
        <w:ind w:firstLine="420" w:firstLineChars="200"/>
        <w:rPr>
          <w:rFonts w:ascii="Times New Roman" w:hAnsi="Times New Roman"/>
          <w:strike/>
          <w:dstrike w:val="0"/>
          <w:color w:val="FF0000"/>
          <w:szCs w:val="21"/>
        </w:rPr>
      </w:pPr>
      <w:r>
        <w:rPr>
          <w:rFonts w:ascii="Times New Roman" w:hAnsi="Times New Roman"/>
          <w:strike/>
          <w:dstrike w:val="0"/>
          <w:color w:val="auto"/>
          <w:szCs w:val="21"/>
        </w:rPr>
        <w:t>1.3  主管机关可以允许为船上的某些必需的工作（如机器与物料的移动）设置通向舱壁甲板以下处所的特别通道。但该通道应为水密，并在驾驶室设有报警与指示装置。</w:t>
      </w:r>
    </w:p>
    <w:p>
      <w:pPr>
        <w:ind w:firstLine="420"/>
        <w:rPr>
          <w:rFonts w:hint="eastAsia" w:ascii="楷体_GB2312" w:hAnsi="Calibri" w:eastAsia="楷体_GB2312"/>
          <w:color w:val="000000" w:themeColor="text1"/>
          <w:highlight w:val="none"/>
          <w14:textFill>
            <w14:solidFill>
              <w14:schemeClr w14:val="tx1"/>
            </w14:solidFill>
          </w14:textFill>
        </w:rPr>
      </w:pPr>
    </w:p>
    <w:p>
      <w:pPr>
        <w:ind w:firstLine="420"/>
        <w:rPr>
          <w:highlight w:val="none"/>
        </w:rPr>
      </w:pPr>
    </w:p>
    <w:p>
      <w:pPr>
        <w:pStyle w:val="3"/>
        <w:ind w:left="0" w:firstLine="562"/>
        <w:jc w:val="center"/>
        <w:rPr>
          <w:rFonts w:ascii="宋体" w:hAnsi="宋体"/>
          <w:b w:val="0"/>
          <w:kern w:val="2"/>
          <w:sz w:val="28"/>
          <w:szCs w:val="28"/>
          <w:highlight w:val="none"/>
        </w:rPr>
      </w:pPr>
      <w:bookmarkStart w:id="34" w:name="_Toc22028"/>
      <w:bookmarkStart w:id="35" w:name="_Toc521938887"/>
      <w:r>
        <w:rPr>
          <w:rFonts w:hint="default" w:ascii="Times New Roman" w:hAnsi="Times New Roman" w:cs="Times New Roman"/>
          <w:bCs w:val="0"/>
          <w:caps w:val="0"/>
          <w:kern w:val="2"/>
          <w:sz w:val="28"/>
          <w:szCs w:val="28"/>
          <w:highlight w:val="none"/>
          <w:lang w:val="en-US"/>
        </w:rPr>
        <w:t>B–4部分　稳 性 管 理</w:t>
      </w:r>
      <w:bookmarkEnd w:id="34"/>
      <w:bookmarkEnd w:id="35"/>
    </w:p>
    <w:p>
      <w:pPr>
        <w:autoSpaceDE w:val="0"/>
        <w:autoSpaceDN w:val="0"/>
        <w:adjustRightInd w:val="0"/>
        <w:ind w:firstLine="422" w:firstLineChars="200"/>
        <w:jc w:val="center"/>
        <w:rPr>
          <w:rFonts w:ascii="Times New Roman" w:hAnsi="Times New Roman"/>
          <w:b/>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36" w:name="_Toc521938888"/>
      <w:bookmarkStart w:id="37" w:name="_Toc15987"/>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19</w:t>
      </w:r>
      <w:r>
        <w:rPr>
          <w:rFonts w:hint="eastAsia" w:ascii="Times New Roman" w:hAnsi="Times New Roman" w:cstheme="minorBidi"/>
          <w:bCs w:val="0"/>
          <w:caps w:val="0"/>
          <w:kern w:val="0"/>
          <w:sz w:val="21"/>
          <w:szCs w:val="21"/>
          <w:highlight w:val="none"/>
          <w:lang w:val="en-US"/>
        </w:rPr>
        <w:t>条　</w:t>
      </w:r>
      <w:bookmarkEnd w:id="36"/>
      <w:r>
        <w:rPr>
          <w:rFonts w:ascii="Times New Roman" w:hAnsi="Times New Roman"/>
          <w:b/>
          <w:szCs w:val="21"/>
          <w:highlight w:val="none"/>
        </w:rPr>
        <w:t>破损控制</w:t>
      </w:r>
      <w:r>
        <w:rPr>
          <w:rFonts w:ascii="Times New Roman" w:hAnsi="Times New Roman"/>
          <w:b/>
          <w:kern w:val="0"/>
          <w:szCs w:val="21"/>
          <w:highlight w:val="none"/>
        </w:rPr>
        <w:t>资料</w:t>
      </w:r>
      <w:r>
        <w:rPr>
          <w:rStyle w:val="60"/>
          <w:rFonts w:ascii="Times New Roman" w:hAnsi="Times New Roman"/>
          <w:b/>
          <w:kern w:val="0"/>
          <w:szCs w:val="21"/>
          <w:highlight w:val="none"/>
        </w:rPr>
        <w:footnoteReference w:id="10"/>
      </w:r>
      <w:bookmarkEnd w:id="37"/>
    </w:p>
    <w:p>
      <w:pPr>
        <w:autoSpaceDE w:val="0"/>
        <w:autoSpaceDN w:val="0"/>
        <w:adjustRightInd w:val="0"/>
        <w:ind w:firstLine="422" w:firstLineChars="200"/>
        <w:jc w:val="center"/>
        <w:rPr>
          <w:rFonts w:ascii="Times New Roman" w:hAnsi="Times New Roman"/>
          <w:b/>
          <w:kern w:val="0"/>
          <w:highlight w:val="none"/>
        </w:rPr>
      </w:pPr>
    </w:p>
    <w:p>
      <w:pPr>
        <w:tabs>
          <w:tab w:val="left" w:pos="426"/>
        </w:tabs>
        <w:autoSpaceDE w:val="0"/>
        <w:autoSpaceDN w:val="0"/>
        <w:adjustRightInd w:val="0"/>
        <w:ind w:firstLine="420" w:firstLineChars="200"/>
        <w:rPr>
          <w:rFonts w:hint="eastAsia" w:ascii="楷体_GB2312" w:eastAsia="楷体_GB2312"/>
          <w:color w:val="auto"/>
          <w:sz w:val="21"/>
          <w:szCs w:val="21"/>
          <w:highlight w:val="none"/>
          <w:u w:val="none"/>
          <w:lang w:eastAsia="zh-CN"/>
        </w:rPr>
      </w:pPr>
      <w:r>
        <w:rPr>
          <w:rFonts w:hint="eastAsia" w:ascii="楷体_GB2312" w:eastAsia="楷体_GB2312"/>
          <w:highlight w:val="none"/>
        </w:rPr>
        <w:t>自2024年1月1日起，</w:t>
      </w:r>
      <w:r>
        <w:rPr>
          <w:rFonts w:hint="eastAsia" w:ascii="楷体_GB2312" w:eastAsia="楷体_GB2312"/>
          <w:highlight w:val="none"/>
          <w:lang w:eastAsia="zh-CN"/>
        </w:rPr>
        <w:t>原</w:t>
      </w:r>
      <w:r>
        <w:rPr>
          <w:rFonts w:hint="eastAsia" w:ascii="楷体_GB2312" w:eastAsia="楷体_GB2312"/>
          <w:highlight w:val="none"/>
          <w:lang w:val="en-US" w:eastAsia="zh-CN"/>
        </w:rPr>
        <w:t>4后面新增5如下</w:t>
      </w:r>
      <w:r>
        <w:rPr>
          <w:rFonts w:hint="eastAsia" w:ascii="楷体_GB2312" w:eastAsia="楷体_GB2312"/>
          <w:highlight w:val="none"/>
        </w:rPr>
        <w:t>：</w:t>
      </w:r>
    </w:p>
    <w:p>
      <w:pPr>
        <w:tabs>
          <w:tab w:val="left" w:pos="426"/>
        </w:tabs>
        <w:autoSpaceDE w:val="0"/>
        <w:autoSpaceDN w:val="0"/>
        <w:adjustRightInd w:val="0"/>
        <w:ind w:firstLine="420" w:firstLineChars="200"/>
        <w:rPr>
          <w:rFonts w:hint="eastAsia" w:ascii="Times New Roman" w:hAnsi="Times New Roman"/>
          <w:color w:val="auto"/>
          <w:highlight w:val="none"/>
          <w:u w:val="none"/>
        </w:rPr>
      </w:pPr>
      <w:r>
        <w:rPr>
          <w:rFonts w:hint="eastAsia" w:ascii="Times New Roman" w:hAnsi="Times New Roman"/>
          <w:color w:val="auto"/>
          <w:highlight w:val="none"/>
          <w:u w:val="none"/>
        </w:rPr>
        <w:t>“</w:t>
      </w:r>
      <w:r>
        <w:rPr>
          <w:rFonts w:hint="eastAsia" w:ascii="Times New Roman" w:hAnsi="Times New Roman"/>
          <w:color w:val="FF0000"/>
          <w:highlight w:val="none"/>
          <w:u w:val="single"/>
        </w:rPr>
        <w:t>5  对于2024年1月1日或以后建造、且第8-1.3条适用的客船，破损控制资料应包括对船上稳性计算机（如安装）破损稳性支持的启动和岸基支持（如设有）的引述。</w:t>
      </w:r>
      <w:r>
        <w:rPr>
          <w:rFonts w:hint="eastAsia" w:ascii="Times New Roman" w:hAnsi="Times New Roman"/>
          <w:color w:val="auto"/>
          <w:highlight w:val="none"/>
          <w:u w:val="none"/>
        </w:rPr>
        <w:t>”</w:t>
      </w:r>
    </w:p>
    <w:p>
      <w:pPr>
        <w:autoSpaceDE w:val="0"/>
        <w:autoSpaceDN w:val="0"/>
        <w:adjustRightInd w:val="0"/>
        <w:ind w:firstLine="420" w:firstLineChars="200"/>
        <w:rPr>
          <w:rFonts w:ascii="Times New Roman" w:hAnsi="Times New Roman"/>
          <w:kern w:val="0"/>
          <w:highlight w:val="none"/>
        </w:rPr>
      </w:pPr>
    </w:p>
    <w:p>
      <w:pPr>
        <w:autoSpaceDE w:val="0"/>
        <w:autoSpaceDN w:val="0"/>
        <w:adjustRightInd w:val="0"/>
        <w:ind w:firstLine="420" w:firstLineChars="200"/>
        <w:jc w:val="left"/>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38" w:name="_Toc521938891"/>
      <w:bookmarkStart w:id="39" w:name="_Toc3048"/>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21</w:t>
      </w:r>
      <w:r>
        <w:rPr>
          <w:rFonts w:hint="eastAsia" w:ascii="Times New Roman" w:hAnsi="Times New Roman" w:cstheme="minorBidi"/>
          <w:bCs w:val="0"/>
          <w:caps w:val="0"/>
          <w:kern w:val="0"/>
          <w:sz w:val="21"/>
          <w:szCs w:val="21"/>
          <w:highlight w:val="none"/>
          <w:lang w:val="en-US"/>
        </w:rPr>
        <w:t>条　客船水密门等的定期操作及检查</w:t>
      </w:r>
      <w:bookmarkEnd w:id="38"/>
      <w:bookmarkEnd w:id="39"/>
    </w:p>
    <w:p>
      <w:pPr>
        <w:ind w:firstLine="420" w:firstLineChars="200"/>
        <w:rPr>
          <w:rFonts w:hint="eastAsia" w:ascii="楷体" w:hAnsi="楷体" w:eastAsia="楷体"/>
          <w:bCs/>
          <w:color w:val="FF0000"/>
          <w:highlight w:val="none"/>
          <w:u w:val="single"/>
        </w:rPr>
      </w:pPr>
    </w:p>
    <w:p>
      <w:pPr>
        <w:ind w:firstLine="420" w:firstLineChars="200"/>
        <w:rPr>
          <w:rFonts w:hint="eastAsia" w:ascii="楷体" w:hAnsi="楷体" w:eastAsia="楷体"/>
          <w:bCs/>
          <w:color w:val="auto"/>
          <w:highlight w:val="none"/>
          <w:u w:val="none"/>
        </w:rPr>
      </w:pPr>
      <w:r>
        <w:rPr>
          <w:rFonts w:hint="eastAsia" w:ascii="楷体" w:hAnsi="楷体" w:eastAsia="楷体"/>
          <w:bCs/>
          <w:color w:val="auto"/>
          <w:highlight w:val="none"/>
          <w:u w:val="none"/>
        </w:rPr>
        <w:t>自2024年1月1日起，</w:t>
      </w:r>
      <w:r>
        <w:rPr>
          <w:rFonts w:hint="eastAsia" w:ascii="楷体" w:hAnsi="楷体" w:eastAsia="楷体"/>
          <w:bCs/>
          <w:color w:val="auto"/>
          <w:highlight w:val="none"/>
          <w:u w:val="none"/>
          <w:lang w:val="en-US" w:eastAsia="zh-CN"/>
        </w:rPr>
        <w:t>原</w:t>
      </w:r>
      <w:r>
        <w:rPr>
          <w:rFonts w:hint="eastAsia" w:ascii="楷体" w:hAnsi="楷体" w:eastAsia="楷体"/>
          <w:bCs/>
          <w:color w:val="auto"/>
          <w:highlight w:val="none"/>
          <w:u w:val="none"/>
        </w:rPr>
        <w:t>1</w:t>
      </w:r>
      <w:r>
        <w:rPr>
          <w:rFonts w:hint="eastAsia" w:ascii="楷体" w:hAnsi="楷体" w:eastAsia="楷体"/>
          <w:bCs/>
          <w:color w:val="auto"/>
          <w:highlight w:val="none"/>
          <w:u w:val="none"/>
          <w:lang w:eastAsia="zh-CN"/>
        </w:rPr>
        <w:t>修改为</w:t>
      </w:r>
      <w:r>
        <w:rPr>
          <w:rFonts w:hint="eastAsia" w:ascii="楷体" w:hAnsi="楷体" w:eastAsia="楷体"/>
          <w:bCs/>
          <w:color w:val="auto"/>
          <w:highlight w:val="none"/>
          <w:u w:val="none"/>
        </w:rPr>
        <w:t>：</w:t>
      </w:r>
    </w:p>
    <w:p>
      <w:pPr>
        <w:ind w:firstLine="420" w:firstLineChars="200"/>
        <w:rPr>
          <w:rFonts w:hint="eastAsia" w:ascii="Times New Roman" w:hAnsi="Times New Roman"/>
          <w:color w:val="auto"/>
          <w:kern w:val="0"/>
          <w:highlight w:val="none"/>
          <w:u w:val="none"/>
        </w:rPr>
      </w:pPr>
      <w:r>
        <w:rPr>
          <w:rFonts w:hint="eastAsia" w:ascii="Times New Roman" w:hAnsi="Times New Roman"/>
          <w:color w:val="auto"/>
          <w:kern w:val="0"/>
          <w:highlight w:val="none"/>
          <w:u w:val="none"/>
        </w:rPr>
        <w:t>“</w:t>
      </w:r>
      <w:r>
        <w:rPr>
          <w:rFonts w:hint="eastAsia" w:ascii="Times New Roman" w:hAnsi="Times New Roman"/>
          <w:color w:val="FF0000"/>
          <w:kern w:val="0"/>
          <w:highlight w:val="none"/>
          <w:u w:val="single"/>
        </w:rPr>
        <w:t xml:space="preserve">1  </w:t>
      </w:r>
      <w:r>
        <w:rPr>
          <w:rFonts w:ascii="Times New Roman" w:hAnsi="Times New Roman"/>
          <w:color w:val="FF0000"/>
          <w:kern w:val="0"/>
          <w:highlight w:val="none"/>
          <w:u w:val="single"/>
        </w:rPr>
        <w:t>水密门、舷窗、泄水孔的阀及关闭装置的操作试验，应每周举行1次。对航期超过1周的船舶，在开航前应举行1次全套操作试验，此后在航行中至少每周举行1次</w:t>
      </w:r>
      <w:r>
        <w:rPr>
          <w:rFonts w:ascii="Times New Roman" w:hAnsi="Times New Roman"/>
          <w:color w:val="FF0000"/>
          <w:szCs w:val="21"/>
          <w:highlight w:val="none"/>
          <w:u w:val="single"/>
        </w:rPr>
        <w:t>。</w:t>
      </w:r>
      <w:r>
        <w:rPr>
          <w:rFonts w:hint="eastAsia" w:ascii="Times New Roman" w:hAnsi="Times New Roman"/>
          <w:color w:val="auto"/>
          <w:kern w:val="0"/>
          <w:highlight w:val="none"/>
          <w:u w:val="none"/>
        </w:rPr>
        <w:t>”</w:t>
      </w:r>
    </w:p>
    <w:p>
      <w:pPr>
        <w:ind w:firstLine="420" w:firstLineChars="200"/>
        <w:rPr>
          <w:rFonts w:hint="eastAsia" w:ascii="楷体" w:hAnsi="楷体" w:eastAsia="楷体"/>
          <w:bCs/>
          <w:color w:val="FF0000"/>
          <w:highlight w:val="none"/>
          <w:u w:val="single"/>
        </w:rPr>
      </w:pPr>
      <w:r>
        <w:rPr>
          <w:rFonts w:ascii="Times New Roman" w:hAnsi="Times New Roman"/>
          <w:strike/>
          <w:dstrike w:val="0"/>
          <w:color w:val="auto"/>
          <w:szCs w:val="21"/>
        </w:rPr>
        <w:t xml:space="preserve">1 </w:t>
      </w:r>
      <w:r>
        <w:rPr>
          <w:rFonts w:ascii="Times New Roman" w:hAnsi="Times New Roman"/>
          <w:strike/>
          <w:dstrike w:val="0"/>
          <w:color w:val="auto"/>
          <w:szCs w:val="21"/>
          <w:highlight w:val="none"/>
        </w:rPr>
        <w:t xml:space="preserve"> </w:t>
      </w:r>
      <w:r>
        <w:rPr>
          <w:rFonts w:ascii="Times New Roman" w:hAnsi="Times New Roman"/>
          <w:strike/>
          <w:dstrike w:val="0"/>
          <w:color w:val="auto"/>
          <w:kern w:val="0"/>
          <w:highlight w:val="none"/>
        </w:rPr>
        <w:t>水密门、舷窗、泄水孔的阀及关闭装置、出灰管与垃圾管的操作试验，应每周举行1次。对航期超过1周的船舶，在开航前应举行1次全套操作试验，此后在航行中至少每周举行1次</w:t>
      </w:r>
      <w:r>
        <w:rPr>
          <w:rFonts w:hint="eastAsia" w:ascii="Times New Roman" w:hAnsi="Times New Roman"/>
          <w:strike/>
          <w:dstrike w:val="0"/>
          <w:color w:val="auto"/>
          <w:kern w:val="0"/>
          <w:highlight w:val="none"/>
        </w:rPr>
        <w:t>。</w:t>
      </w:r>
    </w:p>
    <w:p>
      <w:pPr>
        <w:tabs>
          <w:tab w:val="left" w:pos="426"/>
          <w:tab w:val="left" w:pos="1276"/>
        </w:tabs>
        <w:autoSpaceDE w:val="0"/>
        <w:autoSpaceDN w:val="0"/>
        <w:adjustRightInd w:val="0"/>
        <w:ind w:firstLine="432"/>
        <w:jc w:val="center"/>
        <w:rPr>
          <w:rFonts w:ascii="Times New Roman" w:hAnsi="Times New Roman"/>
          <w:kern w:val="0"/>
          <w:highlight w:val="none"/>
        </w:rPr>
      </w:pPr>
    </w:p>
    <w:p>
      <w:pPr>
        <w:autoSpaceDE w:val="0"/>
        <w:autoSpaceDN w:val="0"/>
        <w:adjustRightInd w:val="0"/>
        <w:ind w:firstLine="422" w:firstLineChars="200"/>
        <w:jc w:val="left"/>
        <w:rPr>
          <w:rFonts w:ascii="Times New Roman" w:hAnsi="Times New Roman"/>
          <w:b/>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40" w:name="_Toc521938892"/>
      <w:bookmarkStart w:id="41" w:name="_Toc20920"/>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22</w:t>
      </w:r>
      <w:r>
        <w:rPr>
          <w:rFonts w:hint="eastAsia" w:ascii="Times New Roman" w:hAnsi="Times New Roman" w:cstheme="minorBidi"/>
          <w:bCs w:val="0"/>
          <w:caps w:val="0"/>
          <w:kern w:val="0"/>
          <w:sz w:val="21"/>
          <w:szCs w:val="21"/>
          <w:highlight w:val="none"/>
          <w:lang w:val="en-US"/>
        </w:rPr>
        <w:t>条　进水的预防和控制等</w:t>
      </w:r>
      <w:bookmarkEnd w:id="40"/>
      <w:bookmarkEnd w:id="41"/>
    </w:p>
    <w:p>
      <w:pPr>
        <w:autoSpaceDE w:val="0"/>
        <w:autoSpaceDN w:val="0"/>
        <w:adjustRightInd w:val="0"/>
        <w:ind w:firstLine="422" w:firstLineChars="200"/>
        <w:rPr>
          <w:rFonts w:ascii="Times New Roman" w:hAnsi="Times New Roman"/>
          <w:b/>
          <w:kern w:val="0"/>
          <w:highlight w:val="none"/>
        </w:rPr>
      </w:pPr>
    </w:p>
    <w:p>
      <w:pPr>
        <w:ind w:firstLine="420" w:firstLineChars="200"/>
        <w:rPr>
          <w:rFonts w:hint="eastAsia" w:ascii="Times New Roman" w:hAnsi="Times New Roman"/>
          <w:color w:val="auto"/>
          <w:szCs w:val="21"/>
          <w:highlight w:val="none"/>
          <w:u w:val="none"/>
        </w:rPr>
      </w:pPr>
      <w:r>
        <w:rPr>
          <w:rFonts w:hint="eastAsia" w:ascii="楷体" w:hAnsi="楷体" w:eastAsia="楷体"/>
          <w:color w:val="auto"/>
          <w:szCs w:val="21"/>
          <w:highlight w:val="none"/>
          <w:u w:val="none"/>
        </w:rPr>
        <w:t>自2024年1月1日起，</w:t>
      </w:r>
      <w:r>
        <w:rPr>
          <w:rFonts w:hint="eastAsia" w:ascii="楷体" w:hAnsi="楷体" w:eastAsia="楷体"/>
          <w:color w:val="auto"/>
          <w:szCs w:val="21"/>
          <w:highlight w:val="none"/>
          <w:u w:val="none"/>
          <w:lang w:val="en-US" w:eastAsia="zh-CN"/>
        </w:rPr>
        <w:t>原1</w:t>
      </w:r>
      <w:r>
        <w:rPr>
          <w:rFonts w:hint="eastAsia" w:ascii="仿宋" w:hAnsi="仿宋" w:eastAsia="仿宋" w:cs="仿宋"/>
          <w:color w:val="auto"/>
          <w:szCs w:val="21"/>
          <w:highlight w:val="none"/>
          <w:u w:val="none"/>
          <w:lang w:val="en-US" w:eastAsia="zh-CN"/>
        </w:rPr>
        <w:t>～</w:t>
      </w:r>
      <w:r>
        <w:rPr>
          <w:rFonts w:hint="eastAsia" w:ascii="楷体" w:hAnsi="楷体" w:eastAsia="楷体"/>
          <w:color w:val="auto"/>
          <w:szCs w:val="21"/>
          <w:highlight w:val="none"/>
          <w:u w:val="none"/>
          <w:lang w:val="en-US" w:eastAsia="zh-CN"/>
        </w:rPr>
        <w:t>16</w:t>
      </w:r>
      <w:r>
        <w:rPr>
          <w:rFonts w:hint="eastAsia" w:ascii="楷体" w:hAnsi="楷体" w:eastAsia="楷体"/>
          <w:color w:val="auto"/>
          <w:szCs w:val="21"/>
          <w:highlight w:val="none"/>
          <w:u w:val="none"/>
          <w:lang w:eastAsia="zh-CN"/>
        </w:rPr>
        <w:t>全部文本改为</w:t>
      </w:r>
      <w:r>
        <w:rPr>
          <w:rFonts w:hint="eastAsia" w:ascii="楷体" w:hAnsi="楷体" w:eastAsia="楷体"/>
          <w:color w:val="auto"/>
          <w:szCs w:val="21"/>
          <w:highlight w:val="none"/>
          <w:u w:val="none"/>
        </w:rPr>
        <w:t>：</w:t>
      </w:r>
      <w:bookmarkStart w:id="94" w:name="_GoBack"/>
      <w:bookmarkEnd w:id="94"/>
    </w:p>
    <w:p>
      <w:pPr>
        <w:ind w:firstLine="420" w:firstLineChars="200"/>
        <w:rPr>
          <w:rFonts w:hint="eastAsia" w:ascii="Times New Roman" w:hAnsi="Times New Roman"/>
          <w:color w:val="FF0000"/>
          <w:szCs w:val="21"/>
          <w:highlight w:val="none"/>
          <w:u w:val="single"/>
        </w:rPr>
      </w:pPr>
      <w:r>
        <w:rPr>
          <w:rFonts w:hint="eastAsia" w:ascii="Times New Roman" w:hAnsi="Times New Roman"/>
          <w:color w:val="auto"/>
          <w:szCs w:val="21"/>
          <w:highlight w:val="none"/>
          <w:u w:val="none"/>
        </w:rPr>
        <w:t>“</w:t>
      </w:r>
      <w:r>
        <w:rPr>
          <w:rFonts w:ascii="Times New Roman" w:hAnsi="Times New Roman"/>
          <w:color w:val="FF0000"/>
          <w:szCs w:val="21"/>
          <w:highlight w:val="none"/>
          <w:u w:val="single"/>
        </w:rPr>
        <w:t>1  除本条3中所规定的航行中可以开启的门外，所有水密门在航行中应保持关闭。第13.</w:t>
      </w:r>
      <w:r>
        <w:rPr>
          <w:rFonts w:hint="eastAsia" w:ascii="Times New Roman" w:hAnsi="Times New Roman"/>
          <w:color w:val="FF0000"/>
          <w:szCs w:val="21"/>
          <w:highlight w:val="none"/>
          <w:u w:val="single"/>
        </w:rPr>
        <w:t>9</w:t>
      </w:r>
      <w:r>
        <w:rPr>
          <w:rFonts w:ascii="Times New Roman" w:hAnsi="Times New Roman"/>
          <w:color w:val="FF0000"/>
          <w:szCs w:val="21"/>
          <w:highlight w:val="none"/>
          <w:u w:val="single"/>
        </w:rPr>
        <w:t>条准许的机器处所内宽度大于1.2 m的水密门仅在该条所述的环境下可以开启。任何按该款规定开启的门均应处于可随时迅速关闭的状态。</w:t>
      </w:r>
    </w:p>
    <w:p>
      <w:pPr>
        <w:ind w:firstLine="420" w:firstLineChars="200"/>
        <w:rPr>
          <w:rFonts w:ascii="Times New Roman" w:hAnsi="Times New Roman"/>
          <w:color w:val="FF0000"/>
          <w:szCs w:val="21"/>
          <w:highlight w:val="none"/>
          <w:u w:val="single"/>
        </w:rPr>
      </w:pPr>
      <w:r>
        <w:rPr>
          <w:rFonts w:ascii="Times New Roman" w:hAnsi="Times New Roman"/>
          <w:color w:val="FF0000"/>
          <w:szCs w:val="21"/>
          <w:highlight w:val="none"/>
          <w:u w:val="single"/>
        </w:rPr>
        <w:t xml:space="preserve">2  </w:t>
      </w:r>
      <w:r>
        <w:rPr>
          <w:rFonts w:ascii="Times New Roman" w:hAnsi="Times New Roman"/>
          <w:color w:val="FF0000"/>
          <w:kern w:val="0"/>
          <w:highlight w:val="none"/>
          <w:u w:val="single"/>
        </w:rPr>
        <w:t>航行期间，客船舱壁甲板和货船干舷甲板以下最大净开口宽度大于1.2 m水密门应保持关闭状态，但当主管机关确认绝对有必要时，该门可以开启一段限定的时间</w:t>
      </w:r>
      <w:r>
        <w:rPr>
          <w:rFonts w:ascii="Times New Roman" w:hAnsi="Times New Roman"/>
          <w:color w:val="FF0000"/>
          <w:szCs w:val="21"/>
          <w:highlight w:val="none"/>
          <w:u w:val="single"/>
        </w:rPr>
        <w:t>。</w:t>
      </w:r>
    </w:p>
    <w:p>
      <w:pPr>
        <w:ind w:firstLine="420" w:firstLineChars="200"/>
        <w:rPr>
          <w:rFonts w:ascii="Times New Roman" w:hAnsi="Times New Roman"/>
          <w:color w:val="FF0000"/>
          <w:szCs w:val="21"/>
          <w:highlight w:val="none"/>
          <w:u w:val="single"/>
        </w:rPr>
      </w:pPr>
      <w:r>
        <w:rPr>
          <w:rFonts w:ascii="Times New Roman" w:hAnsi="Times New Roman"/>
          <w:color w:val="FF0000"/>
          <w:szCs w:val="21"/>
          <w:highlight w:val="none"/>
          <w:u w:val="single"/>
        </w:rPr>
        <w:t xml:space="preserve">3  </w:t>
      </w:r>
      <w:r>
        <w:rPr>
          <w:rFonts w:ascii="Times New Roman" w:hAnsi="Times New Roman"/>
          <w:color w:val="FF0000"/>
          <w:kern w:val="0"/>
          <w:highlight w:val="none"/>
          <w:u w:val="single"/>
        </w:rPr>
        <w:t>航行期间，为便于乘客或船员通行，或因在紧靠水密门的附近作业而必需开启时，可以开启该门。当经过该门的通行已结束或必需开启的门的作业已结束时，必须立即关闭该门。主管机关在考虑到国际海事组织发布的导则</w:t>
      </w:r>
      <w:r>
        <w:rPr>
          <w:rFonts w:ascii="Times New Roman" w:hAnsi="Times New Roman"/>
          <w:color w:val="FF0000"/>
          <w:kern w:val="0"/>
          <w:highlight w:val="none"/>
          <w:u w:val="single"/>
          <w:vertAlign w:val="superscript"/>
        </w:rPr>
        <w:footnoteReference w:id="11"/>
      </w:r>
      <w:r>
        <w:rPr>
          <w:rFonts w:ascii="Times New Roman" w:hAnsi="Times New Roman"/>
          <w:color w:val="FF0000"/>
          <w:kern w:val="0"/>
          <w:highlight w:val="none"/>
          <w:u w:val="single"/>
        </w:rPr>
        <w:t>并仔细考虑了对船舶的操作和残存能力的影响后，才能授权在航行期间开启这样的水密门。准许在航行期间开启的水密门应明确标示在船舶的稳性资料内，并应处于可随时立即关闭的状态</w:t>
      </w:r>
      <w:r>
        <w:rPr>
          <w:rFonts w:ascii="Times New Roman" w:hAnsi="Times New Roman"/>
          <w:color w:val="FF0000"/>
          <w:szCs w:val="21"/>
          <w:highlight w:val="none"/>
          <w:u w:val="single"/>
        </w:rPr>
        <w:t>。</w:t>
      </w:r>
    </w:p>
    <w:p>
      <w:pPr>
        <w:ind w:firstLine="420" w:firstLineChars="200"/>
        <w:rPr>
          <w:rFonts w:hint="eastAsia" w:ascii="Times New Roman" w:hAnsi="Times New Roman"/>
          <w:color w:val="FF0000"/>
          <w:szCs w:val="21"/>
          <w:highlight w:val="none"/>
          <w:u w:val="single"/>
        </w:rPr>
      </w:pPr>
      <w:r>
        <w:rPr>
          <w:rFonts w:ascii="Times New Roman" w:hAnsi="Times New Roman"/>
          <w:color w:val="FF0000"/>
          <w:szCs w:val="21"/>
          <w:highlight w:val="none"/>
          <w:u w:val="single"/>
        </w:rPr>
        <w:t xml:space="preserve">4  </w:t>
      </w:r>
      <w:r>
        <w:rPr>
          <w:rFonts w:ascii="Times New Roman" w:hAnsi="Times New Roman"/>
          <w:color w:val="FF0000"/>
          <w:kern w:val="0"/>
          <w:highlight w:val="none"/>
          <w:u w:val="single"/>
        </w:rPr>
        <w:t>舱壁上的活动门板在开航前应始终在位，并在航行中除遇紧急情况船长认为必需外不得将其取下。装复此类门板时应采取必要的预防措施，以确保其接缝水密。按第13.</w:t>
      </w:r>
      <w:r>
        <w:rPr>
          <w:rFonts w:hint="eastAsia" w:ascii="Times New Roman" w:hAnsi="Times New Roman"/>
          <w:color w:val="FF0000"/>
          <w:kern w:val="0"/>
          <w:highlight w:val="none"/>
          <w:u w:val="single"/>
        </w:rPr>
        <w:t>9</w:t>
      </w:r>
      <w:r>
        <w:rPr>
          <w:rFonts w:ascii="Times New Roman" w:hAnsi="Times New Roman"/>
          <w:color w:val="FF0000"/>
          <w:kern w:val="0"/>
          <w:highlight w:val="none"/>
          <w:u w:val="single"/>
        </w:rPr>
        <w:t>条准许在机器处所内装设的动力滑动水密门在开航前应予关闭，并在航行中除遇紧急情况船长认为必需外应保持关闭</w:t>
      </w:r>
      <w:r>
        <w:rPr>
          <w:rFonts w:ascii="Times New Roman" w:hAnsi="Times New Roman"/>
          <w:color w:val="FF0000"/>
          <w:szCs w:val="21"/>
          <w:highlight w:val="none"/>
          <w:u w:val="single"/>
        </w:rPr>
        <w:t>。</w:t>
      </w:r>
    </w:p>
    <w:p>
      <w:pPr>
        <w:ind w:firstLine="420" w:firstLineChars="200"/>
        <w:rPr>
          <w:rFonts w:ascii="Times New Roman" w:hAnsi="Times New Roman"/>
          <w:color w:val="FF0000"/>
          <w:szCs w:val="21"/>
          <w:highlight w:val="none"/>
          <w:u w:val="single"/>
        </w:rPr>
      </w:pPr>
      <w:r>
        <w:rPr>
          <w:rFonts w:ascii="Times New Roman" w:hAnsi="Times New Roman"/>
          <w:color w:val="FF0000"/>
          <w:kern w:val="0"/>
          <w:highlight w:val="none"/>
          <w:u w:val="single"/>
        </w:rPr>
        <w:t>5  按第13.8.1条分隔甲板间货物的水密舱壁上装设的水密门应在开航前关妥，并应在航行中保持关闭。 此类门开启或关闭的时间应记入主管机关所规定的航海日志</w:t>
      </w:r>
      <w:r>
        <w:rPr>
          <w:rFonts w:ascii="Times New Roman" w:hAnsi="Times New Roman"/>
          <w:color w:val="FF0000"/>
          <w:szCs w:val="21"/>
          <w:highlight w:val="none"/>
          <w:u w:val="single"/>
        </w:rPr>
        <w:t>。</w:t>
      </w:r>
    </w:p>
    <w:p>
      <w:pPr>
        <w:ind w:firstLine="420" w:firstLineChars="200"/>
        <w:rPr>
          <w:rFonts w:ascii="Times New Roman" w:hAnsi="Times New Roman"/>
          <w:color w:val="FF0000"/>
          <w:highlight w:val="none"/>
          <w:u w:val="single"/>
        </w:rPr>
      </w:pPr>
      <w:r>
        <w:rPr>
          <w:rFonts w:ascii="Times New Roman" w:hAnsi="Times New Roman"/>
          <w:color w:val="FF0000"/>
          <w:highlight w:val="none"/>
          <w:u w:val="single"/>
        </w:rPr>
        <w:t>6  对于受第1.1.1.1条规定约束以及在2024年1月1日以前建造的船舶，设于客船舱壁甲板和货船干舷甲板以下的舷门、装货门及装燃料门在开航前应切实关闭和紧固成水密，并应能在航行中保持关闭状态。</w:t>
      </w:r>
    </w:p>
    <w:p>
      <w:pPr>
        <w:ind w:firstLine="420" w:firstLineChars="200"/>
        <w:rPr>
          <w:rFonts w:ascii="Times New Roman" w:hAnsi="Times New Roman"/>
          <w:color w:val="FF0000"/>
          <w:szCs w:val="21"/>
          <w:highlight w:val="none"/>
          <w:u w:val="single"/>
        </w:rPr>
      </w:pPr>
      <w:r>
        <w:rPr>
          <w:rFonts w:ascii="Times New Roman" w:hAnsi="Times New Roman"/>
          <w:color w:val="FF0000"/>
          <w:highlight w:val="none"/>
          <w:u w:val="single"/>
        </w:rPr>
        <w:t>7  对于2024年1月1日或以后建造的船舶，设于客船舱壁甲板和货船干舷甲板以下的舷门、装货门及装燃料门，以及所有水密舱口，在开航前应切实关闭和紧固成水密，并应能在航行中保持关闭状态。但是，船长可允许水密舱口在航行中开启一段有限的时间供通过和进出，随后应予以关闭。</w:t>
      </w:r>
    </w:p>
    <w:p>
      <w:pPr>
        <w:autoSpaceDE w:val="0"/>
        <w:autoSpaceDN w:val="0"/>
        <w:adjustRightInd w:val="0"/>
        <w:ind w:firstLine="420" w:firstLineChars="200"/>
        <w:jc w:val="left"/>
        <w:rPr>
          <w:rFonts w:ascii="Times New Roman" w:hAnsi="Times New Roman"/>
          <w:color w:val="FF0000"/>
          <w:kern w:val="0"/>
          <w:highlight w:val="none"/>
          <w:u w:val="single"/>
        </w:rPr>
      </w:pPr>
      <w:r>
        <w:rPr>
          <w:rFonts w:hint="eastAsia" w:ascii="Times New Roman" w:hAnsi="Times New Roman"/>
          <w:color w:val="FF0000"/>
          <w:szCs w:val="21"/>
          <w:highlight w:val="none"/>
          <w:u w:val="single"/>
        </w:rPr>
        <w:t>8</w:t>
      </w:r>
      <w:r>
        <w:rPr>
          <w:rFonts w:ascii="Times New Roman" w:hAnsi="Times New Roman"/>
          <w:color w:val="FF0000"/>
          <w:szCs w:val="21"/>
          <w:highlight w:val="none"/>
          <w:u w:val="single"/>
        </w:rPr>
        <w:t xml:space="preserve">  </w:t>
      </w:r>
      <w:r>
        <w:rPr>
          <w:rFonts w:ascii="Times New Roman" w:hAnsi="Times New Roman"/>
          <w:color w:val="FF0000"/>
          <w:kern w:val="0"/>
          <w:highlight w:val="none"/>
          <w:u w:val="single"/>
        </w:rPr>
        <w:t>下列位于客船舱壁甲板和货船干舷甲板以上的门，船舶在开航前应予关闭并锁住，并在船舶到达下一个停泊地前一直保持闭锁状态：</w:t>
      </w:r>
    </w:p>
    <w:p>
      <w:pPr>
        <w:autoSpaceDE w:val="0"/>
        <w:autoSpaceDN w:val="0"/>
        <w:adjustRightInd w:val="0"/>
        <w:ind w:firstLine="630" w:firstLineChars="300"/>
        <w:jc w:val="left"/>
        <w:rPr>
          <w:rFonts w:ascii="Times New Roman" w:hAnsi="Times New Roman"/>
          <w:color w:val="FF0000"/>
          <w:kern w:val="0"/>
          <w:highlight w:val="none"/>
          <w:u w:val="single"/>
        </w:rPr>
      </w:pPr>
      <w:r>
        <w:rPr>
          <w:rFonts w:ascii="Times New Roman" w:hAnsi="Times New Roman"/>
          <w:color w:val="FF0000"/>
          <w:kern w:val="0"/>
          <w:highlight w:val="none"/>
          <w:u w:val="single"/>
        </w:rPr>
        <w:t>.1　在船壳或封闭上层建筑围壁上的装货门；</w:t>
      </w:r>
    </w:p>
    <w:p>
      <w:pPr>
        <w:autoSpaceDE w:val="0"/>
        <w:autoSpaceDN w:val="0"/>
        <w:adjustRightInd w:val="0"/>
        <w:ind w:firstLine="630" w:firstLineChars="300"/>
        <w:jc w:val="left"/>
        <w:rPr>
          <w:rFonts w:ascii="Times New Roman" w:hAnsi="Times New Roman"/>
          <w:color w:val="FF0000"/>
          <w:kern w:val="0"/>
          <w:highlight w:val="none"/>
          <w:u w:val="single"/>
        </w:rPr>
      </w:pPr>
      <w:r>
        <w:rPr>
          <w:rFonts w:ascii="Times New Roman" w:hAnsi="Times New Roman"/>
          <w:color w:val="FF0000"/>
          <w:kern w:val="0"/>
          <w:highlight w:val="none"/>
          <w:u w:val="single"/>
        </w:rPr>
        <w:t>.2　在本条</w:t>
      </w:r>
      <w:r>
        <w:rPr>
          <w:rFonts w:hint="eastAsia" w:ascii="Times New Roman" w:hAnsi="Times New Roman"/>
          <w:color w:val="FF0000"/>
          <w:kern w:val="0"/>
          <w:highlight w:val="none"/>
          <w:u w:val="single"/>
        </w:rPr>
        <w:t>8</w:t>
      </w:r>
      <w:r>
        <w:rPr>
          <w:rFonts w:ascii="Times New Roman" w:hAnsi="Times New Roman"/>
          <w:color w:val="FF0000"/>
          <w:kern w:val="0"/>
          <w:highlight w:val="none"/>
          <w:u w:val="single"/>
        </w:rPr>
        <w:t>.1中所述位置设置的罩壳式船首门；</w:t>
      </w:r>
    </w:p>
    <w:p>
      <w:pPr>
        <w:autoSpaceDE w:val="0"/>
        <w:autoSpaceDN w:val="0"/>
        <w:adjustRightInd w:val="0"/>
        <w:ind w:firstLine="630" w:firstLineChars="300"/>
        <w:jc w:val="left"/>
        <w:rPr>
          <w:rFonts w:ascii="Times New Roman" w:hAnsi="Times New Roman"/>
          <w:color w:val="FF0000"/>
          <w:kern w:val="0"/>
          <w:highlight w:val="none"/>
          <w:u w:val="single"/>
        </w:rPr>
      </w:pPr>
      <w:r>
        <w:rPr>
          <w:rFonts w:ascii="Times New Roman" w:hAnsi="Times New Roman"/>
          <w:color w:val="FF0000"/>
          <w:kern w:val="0"/>
          <w:highlight w:val="none"/>
          <w:u w:val="single"/>
        </w:rPr>
        <w:t>.3　在防撞舱壁上的装货门；和</w:t>
      </w:r>
    </w:p>
    <w:p>
      <w:pPr>
        <w:ind w:firstLine="630" w:firstLineChars="300"/>
        <w:rPr>
          <w:rFonts w:ascii="Times New Roman" w:hAnsi="Times New Roman"/>
          <w:color w:val="FF0000"/>
          <w:szCs w:val="21"/>
          <w:highlight w:val="none"/>
          <w:u w:val="single"/>
        </w:rPr>
      </w:pPr>
      <w:r>
        <w:rPr>
          <w:rFonts w:ascii="Times New Roman" w:hAnsi="Times New Roman"/>
          <w:color w:val="FF0000"/>
          <w:kern w:val="0"/>
          <w:highlight w:val="none"/>
          <w:u w:val="single"/>
        </w:rPr>
        <w:t>.4　构成替代本条</w:t>
      </w:r>
      <w:r>
        <w:rPr>
          <w:rFonts w:hint="eastAsia" w:ascii="Times New Roman" w:hAnsi="Times New Roman"/>
          <w:color w:val="FF0000"/>
          <w:kern w:val="0"/>
          <w:highlight w:val="none"/>
          <w:u w:val="single"/>
        </w:rPr>
        <w:t>8</w:t>
      </w:r>
      <w:r>
        <w:rPr>
          <w:rFonts w:ascii="Times New Roman" w:hAnsi="Times New Roman"/>
          <w:color w:val="FF0000"/>
          <w:kern w:val="0"/>
          <w:highlight w:val="none"/>
          <w:u w:val="single"/>
        </w:rPr>
        <w:t>.1至</w:t>
      </w:r>
      <w:r>
        <w:rPr>
          <w:rFonts w:hint="eastAsia" w:ascii="Times New Roman" w:hAnsi="Times New Roman"/>
          <w:color w:val="FF0000"/>
          <w:kern w:val="0"/>
          <w:highlight w:val="none"/>
          <w:u w:val="single"/>
        </w:rPr>
        <w:t>8</w:t>
      </w:r>
      <w:r>
        <w:rPr>
          <w:rFonts w:ascii="Times New Roman" w:hAnsi="Times New Roman"/>
          <w:color w:val="FF0000"/>
          <w:kern w:val="0"/>
          <w:highlight w:val="none"/>
          <w:u w:val="single"/>
        </w:rPr>
        <w:t>.3所述的关闭设备的坡道门</w:t>
      </w:r>
      <w:r>
        <w:rPr>
          <w:rFonts w:ascii="Times New Roman" w:hAnsi="Times New Roman"/>
          <w:color w:val="FF0000"/>
          <w:szCs w:val="21"/>
          <w:highlight w:val="none"/>
          <w:u w:val="single"/>
        </w:rPr>
        <w:t>。</w:t>
      </w:r>
    </w:p>
    <w:p>
      <w:pPr>
        <w:ind w:firstLine="420" w:firstLineChars="200"/>
        <w:rPr>
          <w:rFonts w:ascii="Times New Roman" w:hAnsi="Times New Roman"/>
          <w:color w:val="FF0000"/>
          <w:szCs w:val="21"/>
          <w:highlight w:val="none"/>
          <w:u w:val="single"/>
        </w:rPr>
      </w:pPr>
      <w:r>
        <w:rPr>
          <w:rFonts w:hint="eastAsia" w:ascii="Times New Roman" w:hAnsi="Times New Roman"/>
          <w:color w:val="FF0000"/>
          <w:szCs w:val="21"/>
          <w:highlight w:val="none"/>
          <w:u w:val="single"/>
        </w:rPr>
        <w:t>9</w:t>
      </w:r>
      <w:r>
        <w:rPr>
          <w:rFonts w:ascii="Times New Roman" w:hAnsi="Times New Roman"/>
          <w:color w:val="FF0000"/>
          <w:szCs w:val="21"/>
          <w:highlight w:val="none"/>
          <w:u w:val="single"/>
        </w:rPr>
        <w:t xml:space="preserve">  如果船舶在泊位停泊时，门不能开启或关闭，则在船舶靠、离泊位时此门可开启或保持开启状态，但仅就必要时能对此门进行即时操作而言。在任何情况下，内首门必须保持关闭。</w:t>
      </w:r>
    </w:p>
    <w:p>
      <w:pPr>
        <w:autoSpaceDE w:val="0"/>
        <w:autoSpaceDN w:val="0"/>
        <w:adjustRightInd w:val="0"/>
        <w:ind w:firstLine="420" w:firstLineChars="200"/>
        <w:jc w:val="left"/>
        <w:rPr>
          <w:rFonts w:ascii="Times New Roman" w:hAnsi="Times New Roman"/>
          <w:color w:val="FF0000"/>
          <w:kern w:val="0"/>
          <w:highlight w:val="none"/>
          <w:u w:val="single"/>
        </w:rPr>
      </w:pPr>
      <w:r>
        <w:rPr>
          <w:rFonts w:hint="eastAsia" w:ascii="Times New Roman" w:hAnsi="Times New Roman"/>
          <w:color w:val="FF0000"/>
          <w:kern w:val="0"/>
          <w:highlight w:val="none"/>
          <w:u w:val="single"/>
        </w:rPr>
        <w:t>10</w:t>
      </w:r>
      <w:r>
        <w:rPr>
          <w:rFonts w:ascii="Times New Roman" w:hAnsi="Times New Roman"/>
          <w:color w:val="FF0000"/>
          <w:kern w:val="0"/>
          <w:highlight w:val="none"/>
          <w:u w:val="single"/>
        </w:rPr>
        <w:t xml:space="preserve"> </w:t>
      </w:r>
      <w:r>
        <w:rPr>
          <w:rFonts w:hint="eastAsia" w:ascii="Times New Roman" w:hAnsi="Times New Roman"/>
          <w:color w:val="FF0000"/>
          <w:kern w:val="0"/>
          <w:highlight w:val="none"/>
          <w:u w:val="single"/>
        </w:rPr>
        <w:t xml:space="preserve"> </w:t>
      </w:r>
      <w:r>
        <w:rPr>
          <w:rFonts w:ascii="Times New Roman" w:hAnsi="Times New Roman"/>
          <w:color w:val="FF0000"/>
          <w:kern w:val="0"/>
          <w:highlight w:val="none"/>
          <w:u w:val="single"/>
        </w:rPr>
        <w:t>尽管本条</w:t>
      </w:r>
      <w:r>
        <w:rPr>
          <w:rFonts w:hint="eastAsia" w:ascii="Times New Roman" w:hAnsi="Times New Roman"/>
          <w:color w:val="FF0000"/>
          <w:kern w:val="0"/>
          <w:highlight w:val="none"/>
          <w:u w:val="single"/>
        </w:rPr>
        <w:t>8</w:t>
      </w:r>
      <w:r>
        <w:rPr>
          <w:rFonts w:ascii="Times New Roman" w:hAnsi="Times New Roman"/>
          <w:color w:val="FF0000"/>
          <w:kern w:val="0"/>
          <w:highlight w:val="none"/>
          <w:u w:val="single"/>
        </w:rPr>
        <w:t>.1和</w:t>
      </w:r>
      <w:r>
        <w:rPr>
          <w:rFonts w:hint="eastAsia" w:ascii="Times New Roman" w:hAnsi="Times New Roman"/>
          <w:color w:val="FF0000"/>
          <w:kern w:val="0"/>
          <w:highlight w:val="none"/>
          <w:u w:val="single"/>
        </w:rPr>
        <w:t>8</w:t>
      </w:r>
      <w:r>
        <w:rPr>
          <w:rFonts w:ascii="Times New Roman" w:hAnsi="Times New Roman"/>
          <w:color w:val="FF0000"/>
          <w:kern w:val="0"/>
          <w:highlight w:val="none"/>
          <w:u w:val="single"/>
        </w:rPr>
        <w:t>.4有要求，当船舶停泊在安全锚地且不损害船舶的安全时，如为船舶操作或乘客上、下船所需要，主管机关仍可授权船长自行决定打开某些特定的门。</w:t>
      </w:r>
    </w:p>
    <w:p>
      <w:pPr>
        <w:autoSpaceDE w:val="0"/>
        <w:autoSpaceDN w:val="0"/>
        <w:adjustRightInd w:val="0"/>
        <w:ind w:firstLine="420" w:firstLineChars="200"/>
        <w:jc w:val="left"/>
        <w:rPr>
          <w:rFonts w:ascii="Times New Roman" w:hAnsi="Times New Roman"/>
          <w:color w:val="FF0000"/>
          <w:kern w:val="0"/>
          <w:highlight w:val="none"/>
          <w:u w:val="single"/>
        </w:rPr>
      </w:pPr>
      <w:r>
        <w:rPr>
          <w:rFonts w:ascii="Times New Roman" w:hAnsi="Times New Roman"/>
          <w:color w:val="FF0000"/>
          <w:kern w:val="0"/>
          <w:highlight w:val="none"/>
          <w:u w:val="single"/>
        </w:rPr>
        <w:t>1</w:t>
      </w:r>
      <w:r>
        <w:rPr>
          <w:rFonts w:hint="eastAsia" w:ascii="Times New Roman" w:hAnsi="Times New Roman"/>
          <w:color w:val="FF0000"/>
          <w:kern w:val="0"/>
          <w:highlight w:val="none"/>
          <w:u w:val="single"/>
        </w:rPr>
        <w:t>1</w:t>
      </w:r>
      <w:r>
        <w:rPr>
          <w:rFonts w:ascii="Times New Roman" w:hAnsi="Times New Roman"/>
          <w:color w:val="FF0000"/>
          <w:kern w:val="0"/>
          <w:highlight w:val="none"/>
          <w:u w:val="single"/>
        </w:rPr>
        <w:t>　船长应确保对本条</w:t>
      </w:r>
      <w:r>
        <w:rPr>
          <w:rFonts w:hint="eastAsia" w:ascii="Times New Roman" w:hAnsi="Times New Roman"/>
          <w:color w:val="FF0000"/>
          <w:kern w:val="0"/>
          <w:highlight w:val="none"/>
          <w:u w:val="single"/>
        </w:rPr>
        <w:t>8</w:t>
      </w:r>
      <w:r>
        <w:rPr>
          <w:rFonts w:ascii="Times New Roman" w:hAnsi="Times New Roman"/>
          <w:color w:val="FF0000"/>
          <w:kern w:val="0"/>
          <w:highlight w:val="none"/>
          <w:u w:val="single"/>
        </w:rPr>
        <w:t>所述的门的关闭和开启进行有效监督和报告制度的执行。</w:t>
      </w:r>
    </w:p>
    <w:p>
      <w:pPr>
        <w:autoSpaceDE w:val="0"/>
        <w:autoSpaceDN w:val="0"/>
        <w:adjustRightInd w:val="0"/>
        <w:ind w:firstLine="420" w:firstLineChars="200"/>
        <w:jc w:val="left"/>
        <w:rPr>
          <w:rFonts w:ascii="Times New Roman" w:hAnsi="Times New Roman"/>
          <w:color w:val="FF0000"/>
          <w:kern w:val="0"/>
          <w:highlight w:val="none"/>
          <w:u w:val="single"/>
        </w:rPr>
      </w:pPr>
      <w:r>
        <w:rPr>
          <w:rFonts w:ascii="Times New Roman" w:hAnsi="Times New Roman"/>
          <w:color w:val="FF0000"/>
          <w:kern w:val="0"/>
          <w:highlight w:val="none"/>
          <w:u w:val="single"/>
        </w:rPr>
        <w:t>1</w:t>
      </w:r>
      <w:r>
        <w:rPr>
          <w:rFonts w:hint="eastAsia" w:ascii="Times New Roman" w:hAnsi="Times New Roman"/>
          <w:color w:val="FF0000"/>
          <w:kern w:val="0"/>
          <w:highlight w:val="none"/>
          <w:u w:val="single"/>
        </w:rPr>
        <w:t>2</w:t>
      </w:r>
      <w:r>
        <w:rPr>
          <w:rFonts w:ascii="Times New Roman" w:hAnsi="Times New Roman"/>
          <w:color w:val="FF0000"/>
          <w:kern w:val="0"/>
          <w:highlight w:val="none"/>
          <w:u w:val="single"/>
        </w:rPr>
        <w:t>　在每次开航前，船长应确保将本条</w:t>
      </w:r>
      <w:r>
        <w:rPr>
          <w:rFonts w:hint="eastAsia" w:ascii="Times New Roman" w:hAnsi="Times New Roman"/>
          <w:color w:val="FF0000"/>
          <w:kern w:val="0"/>
          <w:highlight w:val="none"/>
          <w:u w:val="single"/>
        </w:rPr>
        <w:t>13</w:t>
      </w:r>
      <w:r>
        <w:rPr>
          <w:rFonts w:ascii="Times New Roman" w:hAnsi="Times New Roman"/>
          <w:color w:val="FF0000"/>
          <w:kern w:val="0"/>
          <w:highlight w:val="none"/>
          <w:u w:val="single"/>
        </w:rPr>
        <w:t>规定的门的关闭时间，和按本条</w:t>
      </w:r>
      <w:r>
        <w:rPr>
          <w:rFonts w:hint="eastAsia" w:ascii="Times New Roman" w:hAnsi="Times New Roman"/>
          <w:color w:val="FF0000"/>
          <w:kern w:val="0"/>
          <w:highlight w:val="none"/>
          <w:u w:val="single"/>
        </w:rPr>
        <w:t>14</w:t>
      </w:r>
      <w:r>
        <w:rPr>
          <w:rFonts w:ascii="Times New Roman" w:hAnsi="Times New Roman"/>
          <w:color w:val="FF0000"/>
          <w:kern w:val="0"/>
          <w:highlight w:val="none"/>
          <w:u w:val="single"/>
        </w:rPr>
        <w:t>所述的特定门的开启时间记录在主管机关所规定的航海日志中。</w:t>
      </w:r>
    </w:p>
    <w:p>
      <w:pPr>
        <w:autoSpaceDE w:val="0"/>
        <w:autoSpaceDN w:val="0"/>
        <w:adjustRightInd w:val="0"/>
        <w:ind w:firstLine="420" w:firstLineChars="200"/>
        <w:jc w:val="left"/>
        <w:rPr>
          <w:rFonts w:ascii="Times New Roman" w:hAnsi="Times New Roman"/>
          <w:color w:val="FF0000"/>
          <w:kern w:val="0"/>
          <w:highlight w:val="none"/>
          <w:u w:val="single"/>
        </w:rPr>
      </w:pPr>
      <w:r>
        <w:rPr>
          <w:rFonts w:ascii="Times New Roman" w:hAnsi="Times New Roman"/>
          <w:color w:val="FF0000"/>
          <w:kern w:val="0"/>
          <w:highlight w:val="none"/>
          <w:u w:val="single"/>
        </w:rPr>
        <w:t>1</w:t>
      </w:r>
      <w:r>
        <w:rPr>
          <w:rFonts w:hint="eastAsia" w:ascii="Times New Roman" w:hAnsi="Times New Roman"/>
          <w:color w:val="FF0000"/>
          <w:kern w:val="0"/>
          <w:highlight w:val="none"/>
          <w:u w:val="single"/>
        </w:rPr>
        <w:t>3</w:t>
      </w:r>
      <w:r>
        <w:rPr>
          <w:rFonts w:ascii="Times New Roman" w:hAnsi="Times New Roman"/>
          <w:color w:val="FF0000"/>
          <w:kern w:val="0"/>
          <w:highlight w:val="none"/>
          <w:u w:val="single"/>
        </w:rPr>
        <w:t>　本条要求的在航行中保持关闭的铰链门、活动门板、舷窗、舷门、装货门和装燃料门及其他开口，均应在开航前关闭。此种门开启和关闭（如本</w:t>
      </w:r>
      <w:r>
        <w:rPr>
          <w:rFonts w:hint="eastAsia" w:ascii="Times New Roman" w:hAnsi="Times New Roman"/>
          <w:color w:val="FF0000"/>
          <w:kern w:val="0"/>
          <w:highlight w:val="none"/>
          <w:u w:val="single"/>
        </w:rPr>
        <w:t>规则</w:t>
      </w:r>
      <w:r>
        <w:rPr>
          <w:rFonts w:ascii="Times New Roman" w:hAnsi="Times New Roman"/>
          <w:color w:val="FF0000"/>
          <w:kern w:val="0"/>
          <w:highlight w:val="none"/>
          <w:u w:val="single"/>
        </w:rPr>
        <w:t>所准许者）的时间，应记入主管机关所规定的航海日志。</w:t>
      </w:r>
    </w:p>
    <w:p>
      <w:pPr>
        <w:autoSpaceDE w:val="0"/>
        <w:autoSpaceDN w:val="0"/>
        <w:adjustRightInd w:val="0"/>
        <w:ind w:firstLine="420" w:firstLineChars="200"/>
        <w:jc w:val="left"/>
        <w:rPr>
          <w:rFonts w:ascii="Times New Roman" w:hAnsi="Times New Roman"/>
          <w:color w:val="FF0000"/>
          <w:kern w:val="0"/>
          <w:highlight w:val="none"/>
          <w:u w:val="single"/>
        </w:rPr>
      </w:pPr>
      <w:r>
        <w:rPr>
          <w:rFonts w:ascii="Times New Roman" w:hAnsi="Times New Roman"/>
          <w:color w:val="FF0000"/>
          <w:kern w:val="0"/>
          <w:highlight w:val="none"/>
          <w:u w:val="single"/>
        </w:rPr>
        <w:t>1</w:t>
      </w:r>
      <w:r>
        <w:rPr>
          <w:rFonts w:hint="eastAsia" w:ascii="Times New Roman" w:hAnsi="Times New Roman"/>
          <w:color w:val="FF0000"/>
          <w:kern w:val="0"/>
          <w:highlight w:val="none"/>
          <w:u w:val="single"/>
        </w:rPr>
        <w:t>4</w:t>
      </w:r>
      <w:r>
        <w:rPr>
          <w:rFonts w:ascii="Times New Roman" w:hAnsi="Times New Roman"/>
          <w:color w:val="FF0000"/>
          <w:kern w:val="0"/>
          <w:highlight w:val="none"/>
          <w:u w:val="single"/>
        </w:rPr>
        <w:t>　对于甲板间的舷窗，平行于客船舱壁甲板和货船干舷甲板边线绘一条线，其最低点在开航时的水面以上1.4 m加船宽的2.5%，当第15.3.2条所述舷窗槛低于此线时，则此甲板间的所有舷窗在开航前应关闭成水密并锁紧，这类舷窗在船舶到达下一个港口前不应开启。在应用此项要求时，如适用，可计入适当的淡水宽限。</w:t>
      </w:r>
    </w:p>
    <w:p>
      <w:pPr>
        <w:autoSpaceDE w:val="0"/>
        <w:autoSpaceDN w:val="0"/>
        <w:adjustRightInd w:val="0"/>
        <w:ind w:firstLine="630" w:firstLineChars="300"/>
        <w:jc w:val="left"/>
        <w:rPr>
          <w:rFonts w:ascii="Times New Roman" w:hAnsi="Times New Roman"/>
          <w:color w:val="FF0000"/>
          <w:kern w:val="0"/>
          <w:highlight w:val="none"/>
          <w:u w:val="single"/>
        </w:rPr>
      </w:pPr>
      <w:r>
        <w:rPr>
          <w:rFonts w:ascii="Times New Roman" w:hAnsi="Times New Roman"/>
          <w:color w:val="FF0000"/>
          <w:kern w:val="0"/>
          <w:highlight w:val="none"/>
          <w:u w:val="single"/>
        </w:rPr>
        <w:t>.1</w:t>
      </w:r>
      <w:r>
        <w:rPr>
          <w:rFonts w:hint="eastAsia" w:ascii="Times New Roman" w:hAnsi="Times New Roman"/>
          <w:color w:val="FF0000"/>
          <w:kern w:val="0"/>
          <w:highlight w:val="none"/>
          <w:u w:val="single"/>
        </w:rPr>
        <w:t xml:space="preserve"> </w:t>
      </w:r>
      <w:r>
        <w:rPr>
          <w:rFonts w:ascii="Times New Roman" w:hAnsi="Times New Roman"/>
          <w:color w:val="FF0000"/>
          <w:kern w:val="0"/>
          <w:highlight w:val="none"/>
          <w:u w:val="single"/>
        </w:rPr>
        <w:t>此类舷窗在港内开启的时间及开航前将其关闭和加锁的时间，均应记入主管机关规定的航海日志中。</w:t>
      </w:r>
    </w:p>
    <w:p>
      <w:pPr>
        <w:tabs>
          <w:tab w:val="left" w:pos="426"/>
        </w:tabs>
        <w:autoSpaceDE w:val="0"/>
        <w:autoSpaceDN w:val="0"/>
        <w:adjustRightInd w:val="0"/>
        <w:ind w:firstLine="630" w:firstLineChars="300"/>
        <w:jc w:val="left"/>
        <w:rPr>
          <w:rFonts w:ascii="Times New Roman" w:hAnsi="Times New Roman"/>
          <w:color w:val="FF0000"/>
          <w:kern w:val="0"/>
          <w:highlight w:val="none"/>
          <w:u w:val="single"/>
        </w:rPr>
      </w:pPr>
      <w:r>
        <w:rPr>
          <w:rFonts w:ascii="Times New Roman" w:hAnsi="Times New Roman"/>
          <w:color w:val="FF0000"/>
          <w:kern w:val="0"/>
          <w:highlight w:val="none"/>
          <w:u w:val="single"/>
        </w:rPr>
        <w:t>.2</w:t>
      </w:r>
      <w:r>
        <w:rPr>
          <w:rFonts w:ascii="Times New Roman" w:hAnsi="Times New Roman"/>
          <w:color w:val="FF0000"/>
          <w:highlight w:val="none"/>
          <w:u w:val="single"/>
        </w:rPr>
        <w:t>当船舶浮于其最深分舱吃水，而有一个或几个舷窗的位置适用本条14的要求时，主管机关可指明其平均限制吃水，在此吃水时这些舷窗窗槛将高出平行于舱壁甲板边线所绘的线，其最低点在此平均限制吃水的相应水线以上1.4 m加船宽2.5%，则可准许该船离港时不必事先关闭和锁住这些舷窗，而在开往下一港口的航程中，由船长负责可准许在海上开启这些舷窗。在现行《1966年国际载重线公约》定义的热带地区内，这个限制吃水可增加0.3 m</w:t>
      </w:r>
      <w:r>
        <w:rPr>
          <w:rFonts w:ascii="Times New Roman" w:hAnsi="Times New Roman"/>
          <w:color w:val="FF0000"/>
          <w:kern w:val="0"/>
          <w:highlight w:val="none"/>
          <w:u w:val="single"/>
        </w:rPr>
        <w:t>。</w:t>
      </w:r>
    </w:p>
    <w:p>
      <w:pPr>
        <w:tabs>
          <w:tab w:val="left" w:pos="426"/>
        </w:tabs>
        <w:autoSpaceDE w:val="0"/>
        <w:autoSpaceDN w:val="0"/>
        <w:adjustRightInd w:val="0"/>
        <w:ind w:firstLine="420"/>
        <w:jc w:val="left"/>
        <w:rPr>
          <w:rFonts w:ascii="Times New Roman" w:hAnsi="Times New Roman"/>
          <w:color w:val="FF0000"/>
          <w:kern w:val="0"/>
          <w:highlight w:val="none"/>
          <w:u w:val="single"/>
        </w:rPr>
      </w:pPr>
      <w:r>
        <w:rPr>
          <w:rFonts w:ascii="Times New Roman" w:hAnsi="Times New Roman"/>
          <w:color w:val="FF0000"/>
          <w:kern w:val="0"/>
          <w:highlight w:val="none"/>
          <w:u w:val="single"/>
        </w:rPr>
        <w:t>1</w:t>
      </w:r>
      <w:r>
        <w:rPr>
          <w:rFonts w:hint="eastAsia" w:ascii="Times New Roman" w:hAnsi="Times New Roman"/>
          <w:color w:val="FF0000"/>
          <w:kern w:val="0"/>
          <w:highlight w:val="none"/>
          <w:u w:val="single"/>
        </w:rPr>
        <w:t>5</w:t>
      </w:r>
      <w:r>
        <w:rPr>
          <w:rFonts w:ascii="Times New Roman" w:hAnsi="Times New Roman"/>
          <w:color w:val="FF0000"/>
          <w:kern w:val="0"/>
          <w:highlight w:val="none"/>
          <w:u w:val="single"/>
        </w:rPr>
        <w:t xml:space="preserve">  航行时不能到达的舷窗及其舷窗盖，应在开航前关闭并紧固。</w:t>
      </w:r>
    </w:p>
    <w:p>
      <w:pPr>
        <w:autoSpaceDE w:val="0"/>
        <w:autoSpaceDN w:val="0"/>
        <w:adjustRightInd w:val="0"/>
        <w:ind w:firstLine="420" w:firstLineChars="200"/>
        <w:rPr>
          <w:rFonts w:hint="eastAsia" w:ascii="楷体_GB2312" w:eastAsia="楷体_GB2312"/>
          <w:highlight w:val="none"/>
        </w:rPr>
      </w:pPr>
      <w:r>
        <w:rPr>
          <w:rFonts w:ascii="Times New Roman" w:hAnsi="Times New Roman"/>
          <w:color w:val="FF0000"/>
          <w:kern w:val="0"/>
          <w:highlight w:val="none"/>
          <w:u w:val="single"/>
        </w:rPr>
        <w:t>1</w:t>
      </w:r>
      <w:r>
        <w:rPr>
          <w:rFonts w:hint="eastAsia" w:ascii="Times New Roman" w:hAnsi="Times New Roman"/>
          <w:color w:val="FF0000"/>
          <w:kern w:val="0"/>
          <w:highlight w:val="none"/>
          <w:u w:val="single"/>
        </w:rPr>
        <w:t>6</w:t>
      </w:r>
      <w:r>
        <w:rPr>
          <w:rFonts w:ascii="Times New Roman" w:hAnsi="Times New Roman"/>
          <w:color w:val="FF0000"/>
          <w:kern w:val="0"/>
          <w:highlight w:val="none"/>
          <w:u w:val="single"/>
        </w:rPr>
        <w:t>　如在第15.5.2条所述的处所装货时，舷窗及其舷窗盖应在装货前关闭成水密并锁住，这类舷窗和舷窗盖的闭锁时间应记入主管机关所规定的航海日志。</w:t>
      </w:r>
      <w:r>
        <w:rPr>
          <w:rFonts w:hint="eastAsia" w:ascii="Times New Roman" w:hAnsi="Times New Roman"/>
          <w:color w:val="auto"/>
          <w:szCs w:val="21"/>
          <w:highlight w:val="none"/>
          <w:u w:val="none"/>
        </w:rPr>
        <w:t>”</w:t>
      </w:r>
    </w:p>
    <w:p>
      <w:pPr>
        <w:ind w:firstLine="420" w:firstLineChars="200"/>
        <w:rPr>
          <w:rFonts w:hint="eastAsia" w:ascii="Times New Roman" w:hAnsi="Times New Roman"/>
          <w:strike/>
          <w:dstrike w:val="0"/>
          <w:color w:val="auto"/>
          <w:szCs w:val="21"/>
          <w:highlight w:val="none"/>
        </w:rPr>
      </w:pPr>
      <w:r>
        <w:rPr>
          <w:rFonts w:ascii="Times New Roman" w:hAnsi="Times New Roman"/>
          <w:strike/>
          <w:dstrike w:val="0"/>
          <w:color w:val="auto"/>
          <w:szCs w:val="21"/>
          <w:highlight w:val="none"/>
        </w:rPr>
        <w:t>1  除本条3中所规定的航行中可以开启的门外，所有水密门在航行中应保持关闭。第13.</w:t>
      </w:r>
      <w:r>
        <w:rPr>
          <w:rFonts w:hint="eastAsia" w:ascii="Times New Roman" w:hAnsi="Times New Roman"/>
          <w:strike/>
          <w:dstrike w:val="0"/>
          <w:color w:val="auto"/>
          <w:szCs w:val="21"/>
          <w:highlight w:val="none"/>
        </w:rPr>
        <w:t>10</w:t>
      </w:r>
      <w:r>
        <w:rPr>
          <w:rFonts w:ascii="Times New Roman" w:hAnsi="Times New Roman"/>
          <w:strike/>
          <w:dstrike w:val="0"/>
          <w:color w:val="auto"/>
          <w:szCs w:val="21"/>
          <w:highlight w:val="none"/>
        </w:rPr>
        <w:t>条准许的机器处所内宽度大于1.2 m的水密门仅在该条所述的环境下可以开启。任何按该款规定开启的门均应处于可随时迅速关闭的状态。</w:t>
      </w:r>
    </w:p>
    <w:p>
      <w:pPr>
        <w:ind w:firstLine="420" w:firstLineChars="2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 xml:space="preserve">2  </w:t>
      </w:r>
      <w:r>
        <w:rPr>
          <w:rFonts w:ascii="Times New Roman" w:hAnsi="Times New Roman"/>
          <w:strike/>
          <w:dstrike w:val="0"/>
          <w:color w:val="auto"/>
          <w:kern w:val="0"/>
          <w:highlight w:val="none"/>
        </w:rPr>
        <w:t>航行期间，客船舱壁甲板和货船干舷甲板以下最大净开口宽度大于1.2 m水密门应保持关闭状态，但当主管机关确认绝对有必要时，该门可以开启一段限定的时间</w:t>
      </w:r>
      <w:r>
        <w:rPr>
          <w:rFonts w:ascii="Times New Roman" w:hAnsi="Times New Roman"/>
          <w:strike/>
          <w:dstrike w:val="0"/>
          <w:color w:val="auto"/>
          <w:szCs w:val="21"/>
          <w:highlight w:val="none"/>
        </w:rPr>
        <w:t>。</w:t>
      </w:r>
    </w:p>
    <w:p>
      <w:pPr>
        <w:ind w:firstLine="420" w:firstLineChars="200"/>
        <w:rPr>
          <w:rFonts w:ascii="Times New Roman" w:hAnsi="Times New Roman"/>
          <w:strike/>
          <w:dstrike w:val="0"/>
          <w:color w:val="auto"/>
          <w:szCs w:val="21"/>
          <w:highlight w:val="none"/>
        </w:rPr>
      </w:pPr>
      <w:r>
        <w:rPr>
          <w:rFonts w:ascii="Times New Roman" w:hAnsi="Times New Roman"/>
          <w:strike/>
          <w:dstrike w:val="0"/>
          <w:color w:val="auto"/>
          <w:szCs w:val="21"/>
          <w:highlight w:val="none"/>
        </w:rPr>
        <w:t xml:space="preserve">3  </w:t>
      </w:r>
      <w:r>
        <w:rPr>
          <w:rFonts w:ascii="Times New Roman" w:hAnsi="Times New Roman"/>
          <w:strike/>
          <w:dstrike w:val="0"/>
          <w:color w:val="auto"/>
          <w:kern w:val="0"/>
          <w:highlight w:val="none"/>
        </w:rPr>
        <w:t>航行期间，为便于乘客或船员通行，或因在紧靠水密门的附近作业而必需开启时，可以开启该门。当经过该门的通行已结束或必需开启的门的作业已结束时，必须立即关闭该门。主管机关在考虑到国际海事组织发布的导则</w:t>
      </w:r>
      <w:r>
        <w:rPr>
          <w:rFonts w:ascii="Times New Roman" w:hAnsi="Times New Roman"/>
          <w:strike/>
          <w:dstrike w:val="0"/>
          <w:color w:val="auto"/>
          <w:kern w:val="0"/>
          <w:highlight w:val="none"/>
          <w:vertAlign w:val="superscript"/>
        </w:rPr>
        <w:footnoteReference w:id="12"/>
      </w:r>
      <w:r>
        <w:rPr>
          <w:rFonts w:ascii="Times New Roman" w:hAnsi="Times New Roman"/>
          <w:strike/>
          <w:dstrike w:val="0"/>
          <w:color w:val="auto"/>
          <w:kern w:val="0"/>
          <w:highlight w:val="none"/>
        </w:rPr>
        <w:t>并仔细考虑了对船舶的操作和残存能力的影响后，才能授权在航行期间开启这样的水密门。准许在航行期间开启的水密门应明确标示在船舶的稳性资料内，并应处于可随时立即关闭的状态</w:t>
      </w:r>
      <w:r>
        <w:rPr>
          <w:rFonts w:ascii="Times New Roman" w:hAnsi="Times New Roman"/>
          <w:strike/>
          <w:dstrike w:val="0"/>
          <w:color w:val="auto"/>
          <w:szCs w:val="21"/>
          <w:highlight w:val="none"/>
        </w:rPr>
        <w:t>。</w:t>
      </w:r>
    </w:p>
    <w:p>
      <w:pPr>
        <w:ind w:firstLine="420" w:firstLineChars="200"/>
        <w:rPr>
          <w:rFonts w:hint="eastAsia" w:ascii="Times New Roman" w:hAnsi="Times New Roman"/>
          <w:strike/>
          <w:dstrike w:val="0"/>
          <w:color w:val="auto"/>
          <w:szCs w:val="21"/>
          <w:highlight w:val="none"/>
        </w:rPr>
      </w:pPr>
      <w:r>
        <w:rPr>
          <w:rFonts w:ascii="Times New Roman" w:hAnsi="Times New Roman"/>
          <w:strike/>
          <w:dstrike w:val="0"/>
          <w:color w:val="auto"/>
          <w:szCs w:val="21"/>
          <w:highlight w:val="none"/>
        </w:rPr>
        <w:t xml:space="preserve">4  </w:t>
      </w:r>
      <w:r>
        <w:rPr>
          <w:rFonts w:ascii="Times New Roman" w:hAnsi="Times New Roman"/>
          <w:strike/>
          <w:dstrike w:val="0"/>
          <w:color w:val="auto"/>
          <w:kern w:val="0"/>
          <w:highlight w:val="none"/>
        </w:rPr>
        <w:t>舱壁上的活动门板在开航前应始终在位，并在航行中除遇紧急情况船长认为必需外不得将其取下。装复此类门板时应采取必要的预防措施，以确保其接缝水密。按第13.</w:t>
      </w:r>
      <w:r>
        <w:rPr>
          <w:rFonts w:hint="eastAsia" w:ascii="Times New Roman" w:hAnsi="Times New Roman"/>
          <w:strike/>
          <w:dstrike w:val="0"/>
          <w:color w:val="auto"/>
          <w:kern w:val="0"/>
          <w:highlight w:val="none"/>
        </w:rPr>
        <w:t>10</w:t>
      </w:r>
      <w:r>
        <w:rPr>
          <w:rFonts w:ascii="Times New Roman" w:hAnsi="Times New Roman"/>
          <w:strike/>
          <w:dstrike w:val="0"/>
          <w:color w:val="auto"/>
          <w:kern w:val="0"/>
          <w:highlight w:val="none"/>
        </w:rPr>
        <w:t>条准许在机器处所内装设的动力滑动水密门在开航前应予关闭，并在航行中除遇紧急情况船长认为必需外应保持关闭</w:t>
      </w:r>
      <w:r>
        <w:rPr>
          <w:rFonts w:ascii="Times New Roman" w:hAnsi="Times New Roman"/>
          <w:strike/>
          <w:dstrike w:val="0"/>
          <w:color w:val="auto"/>
          <w:szCs w:val="21"/>
          <w:highlight w:val="none"/>
        </w:rPr>
        <w:t>。</w:t>
      </w:r>
    </w:p>
    <w:p>
      <w:pPr>
        <w:ind w:firstLine="420" w:firstLineChars="200"/>
        <w:rPr>
          <w:rFonts w:hint="eastAsia" w:ascii="Times New Roman" w:hAnsi="Times New Roman"/>
          <w:strike/>
          <w:dstrike w:val="0"/>
          <w:color w:val="auto"/>
          <w:kern w:val="0"/>
          <w:highlight w:val="none"/>
        </w:rPr>
      </w:pPr>
      <w:r>
        <w:rPr>
          <w:rFonts w:ascii="Times New Roman" w:hAnsi="Times New Roman"/>
          <w:strike/>
          <w:dstrike w:val="0"/>
          <w:color w:val="auto"/>
          <w:szCs w:val="21"/>
          <w:highlight w:val="none"/>
        </w:rPr>
        <w:t xml:space="preserve">5  </w:t>
      </w:r>
      <w:r>
        <w:rPr>
          <w:rFonts w:ascii="Times New Roman" w:hAnsi="Times New Roman"/>
          <w:strike/>
          <w:dstrike w:val="0"/>
          <w:color w:val="auto"/>
          <w:kern w:val="0"/>
          <w:highlight w:val="none"/>
        </w:rPr>
        <w:t>按第13.9.1条在甲板处所之间分隔货物的水密舱壁上装设的水密门应在开航前关妥，并应在航行中保持关闭。此类门开启或关闭的时间应记入主管机关所规定的航海日志</w:t>
      </w:r>
    </w:p>
    <w:p>
      <w:pPr>
        <w:ind w:firstLine="420" w:firstLineChars="200"/>
        <w:rPr>
          <w:rFonts w:hint="eastAsia" w:ascii="Times New Roman" w:hAnsi="Times New Roman"/>
          <w:strike/>
          <w:dstrike w:val="0"/>
          <w:color w:val="auto"/>
          <w:kern w:val="0"/>
          <w:highlight w:val="none"/>
        </w:rPr>
      </w:pPr>
      <w:r>
        <w:rPr>
          <w:rFonts w:ascii="Times New Roman" w:hAnsi="Times New Roman"/>
          <w:strike/>
          <w:dstrike w:val="0"/>
          <w:color w:val="auto"/>
          <w:szCs w:val="21"/>
          <w:highlight w:val="none"/>
        </w:rPr>
        <w:t xml:space="preserve">6  </w:t>
      </w:r>
      <w:r>
        <w:rPr>
          <w:rFonts w:ascii="Times New Roman" w:hAnsi="Times New Roman"/>
          <w:strike/>
          <w:dstrike w:val="0"/>
          <w:color w:val="auto"/>
          <w:kern w:val="0"/>
          <w:highlight w:val="none"/>
        </w:rPr>
        <w:t>设于客船舱壁甲板和货船干舷甲板以下的舷门、装货门及装燃料门在开航前应切实关闭和紧固成水密，并应能在航行中保持关闭状态</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hint="eastAsia" w:ascii="Times New Roman" w:hAnsi="Times New Roman"/>
          <w:strike/>
          <w:dstrike w:val="0"/>
          <w:color w:val="auto"/>
          <w:szCs w:val="21"/>
          <w:highlight w:val="none"/>
        </w:rPr>
        <w:t>7</w:t>
      </w:r>
      <w:r>
        <w:rPr>
          <w:rFonts w:ascii="Times New Roman" w:hAnsi="Times New Roman"/>
          <w:strike/>
          <w:dstrike w:val="0"/>
          <w:color w:val="auto"/>
          <w:szCs w:val="21"/>
          <w:highlight w:val="none"/>
        </w:rPr>
        <w:t xml:space="preserve">  </w:t>
      </w:r>
      <w:r>
        <w:rPr>
          <w:rFonts w:ascii="Times New Roman" w:hAnsi="Times New Roman"/>
          <w:strike/>
          <w:dstrike w:val="0"/>
          <w:color w:val="auto"/>
          <w:kern w:val="0"/>
          <w:highlight w:val="none"/>
        </w:rPr>
        <w:t>下列位于客船舱壁甲板和货船干舷甲板以上的门，船舶在开航前应予关闭并锁住，并在船舶到达下一个停泊地前一直保持闭锁状态：</w:t>
      </w:r>
    </w:p>
    <w:p>
      <w:pPr>
        <w:autoSpaceDE w:val="0"/>
        <w:autoSpaceDN w:val="0"/>
        <w:adjustRightInd w:val="0"/>
        <w:ind w:firstLine="630" w:firstLineChars="3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　在船壳或封闭上层建筑围壁上的装货门；</w:t>
      </w:r>
    </w:p>
    <w:p>
      <w:pPr>
        <w:autoSpaceDE w:val="0"/>
        <w:autoSpaceDN w:val="0"/>
        <w:adjustRightInd w:val="0"/>
        <w:ind w:firstLine="630" w:firstLineChars="3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.2　在本条</w:t>
      </w:r>
      <w:r>
        <w:rPr>
          <w:rFonts w:hint="eastAsia" w:ascii="Times New Roman" w:hAnsi="Times New Roman"/>
          <w:strike/>
          <w:dstrike w:val="0"/>
          <w:color w:val="auto"/>
          <w:kern w:val="0"/>
          <w:highlight w:val="none"/>
        </w:rPr>
        <w:t>7</w:t>
      </w:r>
      <w:r>
        <w:rPr>
          <w:rFonts w:ascii="Times New Roman" w:hAnsi="Times New Roman"/>
          <w:strike/>
          <w:dstrike w:val="0"/>
          <w:color w:val="auto"/>
          <w:kern w:val="0"/>
          <w:highlight w:val="none"/>
        </w:rPr>
        <w:t>.1中所述位置设置的罩壳式船首门；</w:t>
      </w:r>
    </w:p>
    <w:p>
      <w:pPr>
        <w:autoSpaceDE w:val="0"/>
        <w:autoSpaceDN w:val="0"/>
        <w:adjustRightInd w:val="0"/>
        <w:ind w:firstLine="630" w:firstLineChars="3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.3　在防撞舱壁上的装货门；和</w:t>
      </w:r>
    </w:p>
    <w:p>
      <w:pPr>
        <w:ind w:firstLine="630" w:firstLineChars="300"/>
        <w:rPr>
          <w:rFonts w:ascii="Times New Roman" w:hAnsi="Times New Roman"/>
          <w:strike/>
          <w:dstrike w:val="0"/>
          <w:color w:val="auto"/>
          <w:szCs w:val="21"/>
          <w:highlight w:val="none"/>
        </w:rPr>
      </w:pPr>
      <w:r>
        <w:rPr>
          <w:rFonts w:ascii="Times New Roman" w:hAnsi="Times New Roman"/>
          <w:strike/>
          <w:dstrike w:val="0"/>
          <w:color w:val="auto"/>
          <w:kern w:val="0"/>
          <w:highlight w:val="none"/>
        </w:rPr>
        <w:t>.4　构成替代本条</w:t>
      </w:r>
      <w:r>
        <w:rPr>
          <w:rFonts w:hint="eastAsia" w:ascii="Times New Roman" w:hAnsi="Times New Roman"/>
          <w:strike/>
          <w:dstrike w:val="0"/>
          <w:color w:val="auto"/>
          <w:kern w:val="0"/>
          <w:highlight w:val="none"/>
        </w:rPr>
        <w:t>7</w:t>
      </w:r>
      <w:r>
        <w:rPr>
          <w:rFonts w:ascii="Times New Roman" w:hAnsi="Times New Roman"/>
          <w:strike/>
          <w:dstrike w:val="0"/>
          <w:color w:val="auto"/>
          <w:kern w:val="0"/>
          <w:highlight w:val="none"/>
        </w:rPr>
        <w:t>.1至</w:t>
      </w:r>
      <w:r>
        <w:rPr>
          <w:rFonts w:hint="eastAsia" w:ascii="Times New Roman" w:hAnsi="Times New Roman"/>
          <w:strike/>
          <w:dstrike w:val="0"/>
          <w:color w:val="auto"/>
          <w:kern w:val="0"/>
          <w:highlight w:val="none"/>
        </w:rPr>
        <w:t>7</w:t>
      </w:r>
      <w:r>
        <w:rPr>
          <w:rFonts w:ascii="Times New Roman" w:hAnsi="Times New Roman"/>
          <w:strike/>
          <w:dstrike w:val="0"/>
          <w:color w:val="auto"/>
          <w:kern w:val="0"/>
          <w:highlight w:val="none"/>
        </w:rPr>
        <w:t>.3所述的关闭设备的坡道门</w:t>
      </w:r>
      <w:r>
        <w:rPr>
          <w:rFonts w:ascii="Times New Roman" w:hAnsi="Times New Roman"/>
          <w:strike/>
          <w:dstrike w:val="0"/>
          <w:color w:val="auto"/>
          <w:szCs w:val="21"/>
          <w:highlight w:val="none"/>
        </w:rPr>
        <w:t>。</w:t>
      </w:r>
    </w:p>
    <w:p>
      <w:pPr>
        <w:ind w:firstLine="420" w:firstLineChars="200"/>
        <w:rPr>
          <w:rFonts w:ascii="Times New Roman" w:hAnsi="Times New Roman"/>
          <w:strike/>
          <w:dstrike w:val="0"/>
          <w:color w:val="auto"/>
          <w:szCs w:val="21"/>
          <w:highlight w:val="none"/>
        </w:rPr>
      </w:pPr>
      <w:r>
        <w:rPr>
          <w:rFonts w:hint="eastAsia" w:ascii="Times New Roman" w:hAnsi="Times New Roman"/>
          <w:strike/>
          <w:dstrike w:val="0"/>
          <w:color w:val="auto"/>
          <w:szCs w:val="21"/>
          <w:highlight w:val="none"/>
        </w:rPr>
        <w:t>8</w:t>
      </w:r>
      <w:r>
        <w:rPr>
          <w:rFonts w:ascii="Times New Roman" w:hAnsi="Times New Roman"/>
          <w:strike/>
          <w:dstrike w:val="0"/>
          <w:color w:val="auto"/>
          <w:szCs w:val="21"/>
          <w:highlight w:val="none"/>
        </w:rPr>
        <w:t xml:space="preserve">  如果船舶在泊位停泊时，门不能开启或关闭，则在船舶靠、离泊位时此门可开启或保持开启状态，但仅就必要时能对此门进行即时操作而言。在任何情况下，内首门必须保持关闭。</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hint="eastAsia" w:ascii="Times New Roman" w:hAnsi="Times New Roman"/>
          <w:strike/>
          <w:dstrike w:val="0"/>
          <w:color w:val="auto"/>
          <w:kern w:val="0"/>
          <w:highlight w:val="none"/>
        </w:rPr>
        <w:t>9</w:t>
      </w:r>
      <w:r>
        <w:rPr>
          <w:rFonts w:ascii="Times New Roman" w:hAnsi="Times New Roman"/>
          <w:strike/>
          <w:dstrike w:val="0"/>
          <w:color w:val="auto"/>
          <w:kern w:val="0"/>
          <w:highlight w:val="none"/>
        </w:rPr>
        <w:t xml:space="preserve"> </w:t>
      </w:r>
      <w:r>
        <w:rPr>
          <w:rFonts w:hint="eastAsia" w:ascii="Times New Roman" w:hAnsi="Times New Roman"/>
          <w:strike/>
          <w:dstrike w:val="0"/>
          <w:color w:val="auto"/>
          <w:kern w:val="0"/>
          <w:highlight w:val="none"/>
        </w:rPr>
        <w:t xml:space="preserve"> </w:t>
      </w:r>
      <w:r>
        <w:rPr>
          <w:rFonts w:ascii="Times New Roman" w:hAnsi="Times New Roman"/>
          <w:strike/>
          <w:dstrike w:val="0"/>
          <w:color w:val="auto"/>
          <w:kern w:val="0"/>
          <w:highlight w:val="none"/>
        </w:rPr>
        <w:t>尽管本条</w:t>
      </w:r>
      <w:r>
        <w:rPr>
          <w:rFonts w:hint="eastAsia" w:ascii="Times New Roman" w:hAnsi="Times New Roman"/>
          <w:strike/>
          <w:dstrike w:val="0"/>
          <w:color w:val="auto"/>
          <w:kern w:val="0"/>
          <w:highlight w:val="none"/>
        </w:rPr>
        <w:t>7</w:t>
      </w:r>
      <w:r>
        <w:rPr>
          <w:rFonts w:ascii="Times New Roman" w:hAnsi="Times New Roman"/>
          <w:strike/>
          <w:dstrike w:val="0"/>
          <w:color w:val="auto"/>
          <w:kern w:val="0"/>
          <w:highlight w:val="none"/>
        </w:rPr>
        <w:t>.1和</w:t>
      </w:r>
      <w:r>
        <w:rPr>
          <w:rFonts w:hint="eastAsia" w:ascii="Times New Roman" w:hAnsi="Times New Roman"/>
          <w:strike/>
          <w:dstrike w:val="0"/>
          <w:color w:val="auto"/>
          <w:kern w:val="0"/>
          <w:highlight w:val="none"/>
        </w:rPr>
        <w:t>7</w:t>
      </w:r>
      <w:r>
        <w:rPr>
          <w:rFonts w:ascii="Times New Roman" w:hAnsi="Times New Roman"/>
          <w:strike/>
          <w:dstrike w:val="0"/>
          <w:color w:val="auto"/>
          <w:kern w:val="0"/>
          <w:highlight w:val="none"/>
        </w:rPr>
        <w:t>.4有要求，当船舶停泊在安全锚地且不损害船舶的安全时，如为船舶操作或乘客上、下船所需要，主管机关仍可授权船长自行决定打开某些特定的门。</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w:t>
      </w:r>
      <w:r>
        <w:rPr>
          <w:rFonts w:hint="eastAsia" w:ascii="Times New Roman" w:hAnsi="Times New Roman"/>
          <w:strike/>
          <w:dstrike w:val="0"/>
          <w:color w:val="auto"/>
          <w:kern w:val="0"/>
          <w:highlight w:val="none"/>
        </w:rPr>
        <w:t>0</w:t>
      </w:r>
      <w:r>
        <w:rPr>
          <w:rFonts w:ascii="Times New Roman" w:hAnsi="Times New Roman"/>
          <w:strike/>
          <w:dstrike w:val="0"/>
          <w:color w:val="auto"/>
          <w:kern w:val="0"/>
          <w:highlight w:val="none"/>
        </w:rPr>
        <w:t>　船长应确保对本条</w:t>
      </w:r>
      <w:r>
        <w:rPr>
          <w:rFonts w:hint="eastAsia" w:ascii="Times New Roman" w:hAnsi="Times New Roman"/>
          <w:strike/>
          <w:dstrike w:val="0"/>
          <w:color w:val="auto"/>
          <w:kern w:val="0"/>
          <w:highlight w:val="none"/>
        </w:rPr>
        <w:t>7</w:t>
      </w:r>
      <w:r>
        <w:rPr>
          <w:rFonts w:ascii="Times New Roman" w:hAnsi="Times New Roman"/>
          <w:strike/>
          <w:dstrike w:val="0"/>
          <w:color w:val="auto"/>
          <w:kern w:val="0"/>
          <w:highlight w:val="none"/>
        </w:rPr>
        <w:t>所述的门的关闭和开启进行有效监督和报告制度的执行。</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w:t>
      </w:r>
      <w:r>
        <w:rPr>
          <w:rFonts w:hint="eastAsia" w:ascii="Times New Roman" w:hAnsi="Times New Roman"/>
          <w:strike/>
          <w:dstrike w:val="0"/>
          <w:color w:val="auto"/>
          <w:kern w:val="0"/>
          <w:highlight w:val="none"/>
        </w:rPr>
        <w:t>1</w:t>
      </w:r>
      <w:r>
        <w:rPr>
          <w:rFonts w:ascii="Times New Roman" w:hAnsi="Times New Roman"/>
          <w:strike/>
          <w:dstrike w:val="0"/>
          <w:color w:val="auto"/>
          <w:kern w:val="0"/>
          <w:highlight w:val="none"/>
        </w:rPr>
        <w:t>　在每次开航前，船长应确保将本条</w:t>
      </w:r>
      <w:r>
        <w:rPr>
          <w:rFonts w:hint="eastAsia" w:ascii="Times New Roman" w:hAnsi="Times New Roman"/>
          <w:strike/>
          <w:dstrike w:val="0"/>
          <w:color w:val="auto"/>
          <w:kern w:val="0"/>
          <w:highlight w:val="none"/>
        </w:rPr>
        <w:t>12</w:t>
      </w:r>
      <w:r>
        <w:rPr>
          <w:rFonts w:ascii="Times New Roman" w:hAnsi="Times New Roman"/>
          <w:strike/>
          <w:dstrike w:val="0"/>
          <w:color w:val="auto"/>
          <w:kern w:val="0"/>
          <w:highlight w:val="none"/>
        </w:rPr>
        <w:t>规定的门的关闭时间，和按本条</w:t>
      </w:r>
      <w:r>
        <w:rPr>
          <w:rFonts w:hint="eastAsia" w:ascii="Times New Roman" w:hAnsi="Times New Roman"/>
          <w:strike/>
          <w:dstrike w:val="0"/>
          <w:color w:val="auto"/>
          <w:kern w:val="0"/>
          <w:highlight w:val="none"/>
        </w:rPr>
        <w:t>13</w:t>
      </w:r>
      <w:r>
        <w:rPr>
          <w:rFonts w:ascii="Times New Roman" w:hAnsi="Times New Roman"/>
          <w:strike/>
          <w:dstrike w:val="0"/>
          <w:color w:val="auto"/>
          <w:kern w:val="0"/>
          <w:highlight w:val="none"/>
        </w:rPr>
        <w:t>所述的特定门的开启时间记录在主管机关所规定的航海日志中。</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w:t>
      </w:r>
      <w:r>
        <w:rPr>
          <w:rFonts w:hint="eastAsia" w:ascii="Times New Roman" w:hAnsi="Times New Roman"/>
          <w:strike/>
          <w:dstrike w:val="0"/>
          <w:color w:val="auto"/>
          <w:kern w:val="0"/>
          <w:highlight w:val="none"/>
        </w:rPr>
        <w:t>2</w:t>
      </w:r>
      <w:r>
        <w:rPr>
          <w:rFonts w:ascii="Times New Roman" w:hAnsi="Times New Roman"/>
          <w:strike/>
          <w:dstrike w:val="0"/>
          <w:color w:val="auto"/>
          <w:kern w:val="0"/>
          <w:highlight w:val="none"/>
        </w:rPr>
        <w:t>　本条要求的在航行中保持关闭的铰链门、活动门板、舷窗、舷门、装货门和装燃料门及其他开口，均应在开航前关闭。此种门开启和关闭（如本</w:t>
      </w:r>
      <w:r>
        <w:rPr>
          <w:rFonts w:hint="eastAsia" w:ascii="Times New Roman" w:hAnsi="Times New Roman"/>
          <w:strike/>
          <w:dstrike w:val="0"/>
          <w:color w:val="auto"/>
          <w:kern w:val="0"/>
          <w:highlight w:val="none"/>
        </w:rPr>
        <w:t>规则</w:t>
      </w:r>
      <w:r>
        <w:rPr>
          <w:rFonts w:ascii="Times New Roman" w:hAnsi="Times New Roman"/>
          <w:strike/>
          <w:dstrike w:val="0"/>
          <w:color w:val="auto"/>
          <w:kern w:val="0"/>
          <w:highlight w:val="none"/>
        </w:rPr>
        <w:t>所准许者）的时间，应记入主管机关所规定的航海日志。</w:t>
      </w:r>
    </w:p>
    <w:p>
      <w:pPr>
        <w:autoSpaceDE w:val="0"/>
        <w:autoSpaceDN w:val="0"/>
        <w:adjustRightInd w:val="0"/>
        <w:ind w:firstLine="420" w:firstLineChars="2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w:t>
      </w:r>
      <w:r>
        <w:rPr>
          <w:rFonts w:hint="eastAsia" w:ascii="Times New Roman" w:hAnsi="Times New Roman"/>
          <w:strike/>
          <w:dstrike w:val="0"/>
          <w:color w:val="auto"/>
          <w:kern w:val="0"/>
          <w:highlight w:val="none"/>
        </w:rPr>
        <w:t>3</w:t>
      </w:r>
      <w:r>
        <w:rPr>
          <w:rFonts w:ascii="Times New Roman" w:hAnsi="Times New Roman"/>
          <w:strike/>
          <w:dstrike w:val="0"/>
          <w:color w:val="auto"/>
          <w:kern w:val="0"/>
          <w:highlight w:val="none"/>
        </w:rPr>
        <w:t>　对于甲板间的舷窗，平行于客船舱壁甲板和货船干舷甲板边线绘一条线，其最低点在开航时的水面以上1.4 m加船宽的2.5%，当第15.3.2条所述舷窗槛低于此线时，则此甲板间的所有舷窗在开航前应关闭成水密并锁紧，这类舷窗在船舶到达下一个港口前不应开启。在应用此项要求时，如适用，可计入适当的淡水宽限。</w:t>
      </w:r>
    </w:p>
    <w:p>
      <w:pPr>
        <w:autoSpaceDE w:val="0"/>
        <w:autoSpaceDN w:val="0"/>
        <w:adjustRightInd w:val="0"/>
        <w:ind w:firstLine="630" w:firstLineChars="3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w:t>
      </w:r>
      <w:r>
        <w:rPr>
          <w:rFonts w:hint="eastAsia" w:ascii="Times New Roman" w:hAnsi="Times New Roman"/>
          <w:strike/>
          <w:dstrike w:val="0"/>
          <w:color w:val="auto"/>
          <w:kern w:val="0"/>
          <w:highlight w:val="none"/>
        </w:rPr>
        <w:t xml:space="preserve"> </w:t>
      </w:r>
      <w:r>
        <w:rPr>
          <w:rFonts w:ascii="Times New Roman" w:hAnsi="Times New Roman"/>
          <w:strike/>
          <w:dstrike w:val="0"/>
          <w:color w:val="auto"/>
          <w:kern w:val="0"/>
          <w:highlight w:val="none"/>
        </w:rPr>
        <w:t>此类舷窗在港内开启的时间及开航前将其关闭和加锁的时间，均应记入主管机关规定的航海日志中。</w:t>
      </w:r>
    </w:p>
    <w:p>
      <w:pPr>
        <w:tabs>
          <w:tab w:val="left" w:pos="426"/>
        </w:tabs>
        <w:autoSpaceDE w:val="0"/>
        <w:autoSpaceDN w:val="0"/>
        <w:adjustRightInd w:val="0"/>
        <w:ind w:firstLine="630" w:firstLineChars="30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.2</w:t>
      </w:r>
      <w:r>
        <w:rPr>
          <w:rFonts w:hint="eastAsia" w:ascii="Times New Roman" w:hAnsi="Times New Roman"/>
          <w:strike/>
          <w:dstrike w:val="0"/>
          <w:color w:val="auto"/>
          <w:kern w:val="0"/>
          <w:highlight w:val="none"/>
        </w:rPr>
        <w:t xml:space="preserve"> </w:t>
      </w:r>
      <w:r>
        <w:rPr>
          <w:rFonts w:ascii="Times New Roman" w:hAnsi="Times New Roman"/>
          <w:strike/>
          <w:dstrike w:val="0"/>
          <w:color w:val="auto"/>
          <w:kern w:val="0"/>
          <w:highlight w:val="none"/>
        </w:rPr>
        <w:t>当船舶浮于其最深分舱吃水，而有一个或几个舷窗的位置适用本条13的要求时，主管机关可指明其平均限制吃水，在此吃水时这些舷窗窗槛将高出平行于客船舱壁甲板和货船干舷甲板边线所绘的线，其最低点在此平均限制吃水的相应水线以上1.4 m加船宽2.5%，则可准许开航时不必事先关闭和锁住这些舷窗，而航行中，由船长负责可准许在航行中开启这些舷窗。在现行《国际载重线公约》定义的热带地区内，这个限制吃水可增加0.3 m。</w:t>
      </w:r>
    </w:p>
    <w:p>
      <w:pPr>
        <w:tabs>
          <w:tab w:val="left" w:pos="426"/>
        </w:tabs>
        <w:autoSpaceDE w:val="0"/>
        <w:autoSpaceDN w:val="0"/>
        <w:adjustRightInd w:val="0"/>
        <w:ind w:firstLine="420"/>
        <w:jc w:val="left"/>
        <w:rPr>
          <w:rFonts w:ascii="Times New Roman" w:hAnsi="Times New Roman"/>
          <w:strike/>
          <w:dstrike w:val="0"/>
          <w:color w:val="auto"/>
          <w:kern w:val="0"/>
          <w:highlight w:val="none"/>
        </w:rPr>
      </w:pPr>
      <w:r>
        <w:rPr>
          <w:rFonts w:ascii="Times New Roman" w:hAnsi="Times New Roman"/>
          <w:strike/>
          <w:dstrike w:val="0"/>
          <w:color w:val="auto"/>
          <w:kern w:val="0"/>
          <w:highlight w:val="none"/>
        </w:rPr>
        <w:t>1</w:t>
      </w:r>
      <w:r>
        <w:rPr>
          <w:rFonts w:hint="eastAsia" w:ascii="Times New Roman" w:hAnsi="Times New Roman"/>
          <w:strike/>
          <w:dstrike w:val="0"/>
          <w:color w:val="auto"/>
          <w:kern w:val="0"/>
          <w:highlight w:val="none"/>
        </w:rPr>
        <w:t>4</w:t>
      </w:r>
      <w:r>
        <w:rPr>
          <w:rFonts w:ascii="Times New Roman" w:hAnsi="Times New Roman"/>
          <w:strike/>
          <w:dstrike w:val="0"/>
          <w:color w:val="auto"/>
          <w:kern w:val="0"/>
          <w:highlight w:val="none"/>
        </w:rPr>
        <w:t xml:space="preserve">  航行时不能到达的舷窗及其舷窗盖，应在开航前关闭并紧固。</w:t>
      </w:r>
    </w:p>
    <w:p>
      <w:pPr>
        <w:ind w:firstLine="420" w:firstLineChars="200"/>
        <w:rPr>
          <w:rFonts w:ascii="Times New Roman" w:hAnsi="Times New Roman"/>
          <w:strike/>
          <w:dstrike w:val="0"/>
          <w:color w:val="auto"/>
          <w:szCs w:val="21"/>
          <w:highlight w:val="none"/>
        </w:rPr>
      </w:pPr>
      <w:r>
        <w:rPr>
          <w:rFonts w:ascii="Times New Roman" w:hAnsi="Times New Roman"/>
          <w:strike/>
          <w:dstrike w:val="0"/>
          <w:color w:val="auto"/>
          <w:kern w:val="0"/>
          <w:highlight w:val="none"/>
        </w:rPr>
        <w:t>1</w:t>
      </w:r>
      <w:r>
        <w:rPr>
          <w:rFonts w:hint="eastAsia" w:ascii="Times New Roman" w:hAnsi="Times New Roman"/>
          <w:strike/>
          <w:dstrike w:val="0"/>
          <w:color w:val="auto"/>
          <w:kern w:val="0"/>
          <w:highlight w:val="none"/>
        </w:rPr>
        <w:t>5</w:t>
      </w:r>
      <w:r>
        <w:rPr>
          <w:rFonts w:ascii="Times New Roman" w:hAnsi="Times New Roman"/>
          <w:strike/>
          <w:dstrike w:val="0"/>
          <w:color w:val="auto"/>
          <w:kern w:val="0"/>
          <w:highlight w:val="none"/>
        </w:rPr>
        <w:t>　如在第15.5.2条所述的处所装货时，舷窗及其舷窗盖应在装货前关闭成水密并锁住，这类舷窗和舷窗盖的闭锁时间应记入主管机关所规定的航海日志。</w:t>
      </w:r>
    </w:p>
    <w:p>
      <w:pPr>
        <w:autoSpaceDE w:val="0"/>
        <w:autoSpaceDN w:val="0"/>
        <w:adjustRightInd w:val="0"/>
        <w:ind w:firstLine="420" w:firstLineChars="200"/>
        <w:rPr>
          <w:rFonts w:ascii="Times New Roman" w:hAnsi="Times New Roman"/>
          <w:kern w:val="0"/>
          <w:highlight w:val="none"/>
        </w:rPr>
      </w:pPr>
      <w:r>
        <w:rPr>
          <w:rFonts w:ascii="Times New Roman" w:hAnsi="Times New Roman"/>
          <w:strike/>
          <w:dstrike w:val="0"/>
          <w:color w:val="auto"/>
          <w:szCs w:val="21"/>
          <w:highlight w:val="none"/>
        </w:rPr>
        <w:t>1</w:t>
      </w:r>
      <w:r>
        <w:rPr>
          <w:rFonts w:hint="eastAsia" w:ascii="Times New Roman" w:hAnsi="Times New Roman"/>
          <w:strike/>
          <w:dstrike w:val="0"/>
          <w:color w:val="auto"/>
          <w:szCs w:val="21"/>
          <w:highlight w:val="none"/>
        </w:rPr>
        <w:t>6</w:t>
      </w:r>
      <w:r>
        <w:rPr>
          <w:rFonts w:ascii="Times New Roman" w:hAnsi="Times New Roman"/>
          <w:strike/>
          <w:dstrike w:val="0"/>
          <w:color w:val="auto"/>
          <w:szCs w:val="21"/>
          <w:highlight w:val="none"/>
        </w:rPr>
        <w:t xml:space="preserve">  垃圾</w:t>
      </w:r>
      <w:r>
        <w:rPr>
          <w:rFonts w:ascii="Times New Roman" w:hAnsi="Times New Roman"/>
          <w:strike/>
          <w:dstrike w:val="0"/>
          <w:color w:val="auto"/>
          <w:szCs w:val="21"/>
        </w:rPr>
        <w:t>管等不在使用时，第15.10.2条要求的管盖和管阀应保持关闭和紧固。</w:t>
      </w:r>
    </w:p>
    <w:p>
      <w:pPr>
        <w:autoSpaceDE w:val="0"/>
        <w:autoSpaceDN w:val="0"/>
        <w:adjustRightInd w:val="0"/>
        <w:ind w:firstLine="422" w:firstLineChars="200"/>
        <w:rPr>
          <w:rFonts w:ascii="Times New Roman" w:hAnsi="Times New Roman"/>
          <w:b/>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42" w:name="_Toc28457"/>
      <w:bookmarkStart w:id="43" w:name="_Toc521938894"/>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23</w:t>
      </w:r>
      <w:r>
        <w:rPr>
          <w:rFonts w:hint="eastAsia" w:ascii="Times New Roman" w:hAnsi="Times New Roman" w:cstheme="minorBidi"/>
          <w:bCs w:val="0"/>
          <w:caps w:val="0"/>
          <w:kern w:val="0"/>
          <w:sz w:val="21"/>
          <w:szCs w:val="21"/>
          <w:highlight w:val="none"/>
          <w:lang w:val="en-US"/>
        </w:rPr>
        <w:t>条　对客滚船的特殊要求</w:t>
      </w:r>
      <w:bookmarkEnd w:id="42"/>
      <w:bookmarkEnd w:id="43"/>
    </w:p>
    <w:p>
      <w:pPr>
        <w:autoSpaceDE w:val="0"/>
        <w:autoSpaceDN w:val="0"/>
        <w:adjustRightInd w:val="0"/>
        <w:ind w:firstLine="420" w:firstLineChars="200"/>
        <w:rPr>
          <w:rFonts w:hint="eastAsia" w:ascii="楷体" w:hAnsi="楷体" w:eastAsia="楷体"/>
          <w:color w:val="FF0000"/>
          <w:highlight w:val="none"/>
          <w:u w:val="single"/>
        </w:rPr>
      </w:pPr>
    </w:p>
    <w:p>
      <w:pPr>
        <w:autoSpaceDE w:val="0"/>
        <w:autoSpaceDN w:val="0"/>
        <w:adjustRightInd w:val="0"/>
        <w:ind w:firstLine="420" w:firstLineChars="200"/>
        <w:rPr>
          <w:rFonts w:hint="eastAsia" w:ascii="楷体_GB2312" w:eastAsia="楷体_GB2312"/>
          <w:color w:val="auto"/>
          <w:highlight w:val="none"/>
          <w:u w:val="none"/>
        </w:rPr>
      </w:pPr>
      <w:r>
        <w:rPr>
          <w:rFonts w:hint="eastAsia" w:ascii="楷体" w:hAnsi="楷体" w:eastAsia="楷体"/>
          <w:color w:val="auto"/>
          <w:highlight w:val="none"/>
          <w:u w:val="none"/>
        </w:rPr>
        <w:t>自2024年1月1日起，</w:t>
      </w:r>
      <w:r>
        <w:rPr>
          <w:rFonts w:hint="eastAsia" w:ascii="楷体" w:hAnsi="楷体" w:eastAsia="楷体"/>
          <w:color w:val="auto"/>
          <w:highlight w:val="none"/>
          <w:u w:val="none"/>
          <w:lang w:eastAsia="zh-CN"/>
        </w:rPr>
        <w:t>原</w:t>
      </w:r>
      <w:r>
        <w:rPr>
          <w:rFonts w:hint="eastAsia" w:ascii="楷体" w:hAnsi="楷体" w:eastAsia="楷体"/>
          <w:color w:val="auto"/>
          <w:highlight w:val="none"/>
          <w:u w:val="none"/>
        </w:rPr>
        <w:t>5</w:t>
      </w:r>
      <w:r>
        <w:rPr>
          <w:rFonts w:hint="eastAsia" w:ascii="楷体" w:hAnsi="楷体" w:eastAsia="楷体"/>
          <w:color w:val="auto"/>
          <w:highlight w:val="none"/>
          <w:u w:val="none"/>
          <w:lang w:eastAsia="zh-CN"/>
        </w:rPr>
        <w:t>改为：</w:t>
      </w:r>
    </w:p>
    <w:p>
      <w:pPr>
        <w:autoSpaceDE w:val="0"/>
        <w:autoSpaceDN w:val="0"/>
        <w:adjustRightInd w:val="0"/>
        <w:ind w:firstLine="420" w:firstLineChars="200"/>
        <w:jc w:val="left"/>
        <w:rPr>
          <w:rFonts w:hint="eastAsia" w:ascii="楷体_GB2312" w:eastAsia="楷体_GB2312"/>
          <w:highlight w:val="none"/>
          <w:lang w:eastAsia="zh-CN"/>
        </w:rPr>
      </w:pPr>
      <w:r>
        <w:rPr>
          <w:rFonts w:hint="eastAsia" w:ascii="楷体_GB2312" w:eastAsia="楷体_GB2312"/>
          <w:highlight w:val="none"/>
          <w:lang w:eastAsia="zh-CN"/>
        </w:rPr>
        <w:t>“</w:t>
      </w:r>
      <w:r>
        <w:rPr>
          <w:rFonts w:ascii="Times New Roman" w:hAnsi="Times New Roman"/>
          <w:highlight w:val="none"/>
        </w:rPr>
        <w:t>5  在开航前，船长应确保按第</w:t>
      </w:r>
      <w:r>
        <w:rPr>
          <w:rFonts w:ascii="Times New Roman" w:hAnsi="Times New Roman"/>
          <w:strike/>
          <w:dstrike w:val="0"/>
          <w:color w:val="FF0000"/>
          <w:highlight w:val="none"/>
        </w:rPr>
        <w:t>22. 1</w:t>
      </w:r>
      <w:r>
        <w:rPr>
          <w:rFonts w:hint="eastAsia" w:ascii="Times New Roman" w:hAnsi="Times New Roman"/>
          <w:strike/>
          <w:dstrike w:val="0"/>
          <w:color w:val="FF0000"/>
          <w:highlight w:val="none"/>
        </w:rPr>
        <w:t>2</w:t>
      </w:r>
      <w:r>
        <w:rPr>
          <w:rFonts w:hint="eastAsia" w:ascii="Times New Roman" w:hAnsi="Times New Roman"/>
          <w:color w:val="FF0000"/>
          <w:highlight w:val="none"/>
          <w:u w:val="single"/>
          <w:lang w:val="en-US" w:eastAsia="zh-CN"/>
        </w:rPr>
        <w:t>22.13</w:t>
      </w:r>
      <w:r>
        <w:rPr>
          <w:rFonts w:ascii="Times New Roman" w:hAnsi="Times New Roman"/>
          <w:highlight w:val="none"/>
        </w:rPr>
        <w:t>条的要求，将本条3中所述的通道最后关闭时间记录在航海日志中。</w:t>
      </w:r>
      <w:r>
        <w:rPr>
          <w:rFonts w:hint="eastAsia" w:ascii="楷体_GB2312" w:eastAsia="楷体_GB2312"/>
          <w:highlight w:val="none"/>
          <w:lang w:eastAsia="zh-CN"/>
        </w:rPr>
        <w:t>”</w:t>
      </w:r>
    </w:p>
    <w:p>
      <w:pPr>
        <w:autoSpaceDE w:val="0"/>
        <w:autoSpaceDN w:val="0"/>
        <w:adjustRightInd w:val="0"/>
        <w:ind w:firstLine="420" w:firstLineChars="200"/>
        <w:jc w:val="left"/>
        <w:rPr>
          <w:rFonts w:ascii="Times New Roman" w:hAnsi="Times New Roman"/>
          <w:kern w:val="0"/>
          <w:sz w:val="21"/>
          <w:szCs w:val="21"/>
          <w:highlight w:val="none"/>
        </w:rPr>
      </w:pPr>
      <w:bookmarkStart w:id="44" w:name="_Toc521938895"/>
    </w:p>
    <w:p>
      <w:pPr>
        <w:autoSpaceDE w:val="0"/>
        <w:autoSpaceDN w:val="0"/>
        <w:adjustRightInd w:val="0"/>
        <w:ind w:firstLine="420" w:firstLineChars="200"/>
        <w:rPr>
          <w:rFonts w:hint="eastAsia" w:ascii="楷体" w:hAnsi="楷体" w:eastAsia="楷体"/>
          <w:color w:val="auto"/>
          <w:highlight w:val="none"/>
          <w:u w:val="none"/>
        </w:rPr>
      </w:pPr>
    </w:p>
    <w:p>
      <w:pPr>
        <w:autoSpaceDE w:val="0"/>
        <w:autoSpaceDN w:val="0"/>
        <w:adjustRightInd w:val="0"/>
        <w:ind w:firstLine="420" w:firstLineChars="200"/>
        <w:rPr>
          <w:rFonts w:hint="eastAsia" w:ascii="楷体" w:hAnsi="楷体" w:eastAsia="楷体"/>
          <w:color w:val="auto"/>
          <w:highlight w:val="none"/>
          <w:u w:val="none"/>
        </w:rPr>
      </w:pP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ascii="Times New Roman" w:hAnsi="Times New Roman"/>
          <w:kern w:val="0"/>
          <w:highlight w:val="none"/>
        </w:rPr>
      </w:pPr>
      <w:bookmarkStart w:id="45" w:name="_Toc7651"/>
      <w:r>
        <w:rPr>
          <w:rFonts w:hint="eastAsia" w:ascii="Times New Roman" w:hAnsi="Times New Roman" w:cstheme="minorBidi"/>
          <w:bCs w:val="0"/>
          <w:caps w:val="0"/>
          <w:kern w:val="0"/>
          <w:sz w:val="21"/>
          <w:szCs w:val="21"/>
          <w:highlight w:val="none"/>
          <w:lang w:val="en-US"/>
        </w:rPr>
        <w:t>第</w:t>
      </w:r>
      <w:r>
        <w:rPr>
          <w:rFonts w:ascii="Times New Roman" w:hAnsi="Times New Roman" w:cstheme="minorBidi"/>
          <w:bCs w:val="0"/>
          <w:caps w:val="0"/>
          <w:kern w:val="0"/>
          <w:sz w:val="21"/>
          <w:szCs w:val="21"/>
          <w:highlight w:val="none"/>
          <w:lang w:val="en-US"/>
        </w:rPr>
        <w:t>2</w:t>
      </w:r>
      <w:r>
        <w:rPr>
          <w:rFonts w:hint="eastAsia" w:ascii="Times New Roman" w:hAnsi="Times New Roman" w:cstheme="minorBidi"/>
          <w:bCs w:val="0"/>
          <w:caps w:val="0"/>
          <w:kern w:val="0"/>
          <w:sz w:val="21"/>
          <w:szCs w:val="21"/>
          <w:highlight w:val="none"/>
          <w:lang w:val="en-US" w:eastAsia="zh-CN"/>
        </w:rPr>
        <w:t>5</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散货船以外的单舱货船水位探测器</w:t>
      </w:r>
      <w:bookmarkEnd w:id="45"/>
    </w:p>
    <w:p>
      <w:pPr>
        <w:autoSpaceDE w:val="0"/>
        <w:autoSpaceDN w:val="0"/>
        <w:adjustRightInd w:val="0"/>
        <w:ind w:firstLine="420" w:firstLineChars="200"/>
        <w:rPr>
          <w:rFonts w:hint="eastAsia" w:ascii="楷体" w:hAnsi="楷体" w:eastAsia="楷体"/>
          <w:color w:val="FF0000"/>
          <w:highlight w:val="none"/>
          <w:u w:val="single"/>
        </w:rPr>
      </w:pPr>
    </w:p>
    <w:p>
      <w:pPr>
        <w:autoSpaceDE w:val="0"/>
        <w:autoSpaceDN w:val="0"/>
        <w:adjustRightInd w:val="0"/>
        <w:ind w:firstLine="420" w:firstLineChars="200"/>
        <w:rPr>
          <w:rFonts w:hint="eastAsia" w:ascii="楷体_GB2312" w:eastAsia="楷体_GB2312"/>
          <w:color w:val="auto"/>
          <w:highlight w:val="none"/>
          <w:u w:val="none"/>
        </w:rPr>
      </w:pPr>
      <w:r>
        <w:rPr>
          <w:rFonts w:hint="eastAsia" w:ascii="楷体" w:hAnsi="楷体" w:eastAsia="楷体"/>
          <w:color w:val="auto"/>
          <w:highlight w:val="none"/>
          <w:u w:val="none"/>
          <w:lang w:eastAsia="zh-CN"/>
        </w:rPr>
        <w:t>原</w:t>
      </w:r>
      <w:r>
        <w:rPr>
          <w:rFonts w:hint="eastAsia" w:ascii="楷体" w:hAnsi="楷体" w:eastAsia="楷体"/>
          <w:color w:val="auto"/>
          <w:highlight w:val="none"/>
          <w:u w:val="none"/>
          <w:lang w:val="en-US" w:eastAsia="zh-CN"/>
        </w:rPr>
        <w:t>2</w:t>
      </w:r>
      <w:r>
        <w:rPr>
          <w:rFonts w:hint="eastAsia" w:ascii="楷体" w:hAnsi="楷体" w:eastAsia="楷体"/>
          <w:color w:val="auto"/>
          <w:highlight w:val="none"/>
          <w:u w:val="none"/>
        </w:rPr>
        <w:t>中</w:t>
      </w:r>
      <w:r>
        <w:rPr>
          <w:rFonts w:hint="eastAsia" w:ascii="楷体" w:hAnsi="楷体" w:eastAsia="楷体"/>
          <w:color w:val="auto"/>
          <w:highlight w:val="none"/>
          <w:u w:val="none"/>
          <w:lang w:eastAsia="zh-CN"/>
        </w:rPr>
        <w:t>的脚注</w:t>
      </w:r>
      <w:r>
        <w:rPr>
          <w:rFonts w:hint="eastAsia" w:ascii="楷体" w:hAnsi="楷体" w:eastAsia="楷体"/>
          <w:color w:val="auto"/>
          <w:highlight w:val="none"/>
          <w:u w:val="none"/>
          <w:lang w:eastAsia="zh-CN"/>
        </w:rPr>
        <w:fldChar w:fldCharType="begin"/>
      </w:r>
      <w:r>
        <w:rPr>
          <w:rFonts w:hint="eastAsia" w:ascii="楷体" w:hAnsi="楷体" w:eastAsia="楷体"/>
          <w:color w:val="auto"/>
          <w:highlight w:val="none"/>
          <w:u w:val="none"/>
          <w:lang w:eastAsia="zh-CN"/>
        </w:rPr>
        <w:instrText xml:space="preserve"> = 1 \* GB3 \* MERGEFORMAT </w:instrText>
      </w:r>
      <w:r>
        <w:rPr>
          <w:rFonts w:hint="eastAsia" w:ascii="楷体" w:hAnsi="楷体" w:eastAsia="楷体"/>
          <w:color w:val="auto"/>
          <w:highlight w:val="none"/>
          <w:u w:val="none"/>
          <w:lang w:eastAsia="zh-CN"/>
        </w:rPr>
        <w:fldChar w:fldCharType="separate"/>
      </w:r>
      <w:r>
        <w:t>①</w:t>
      </w:r>
      <w:r>
        <w:rPr>
          <w:rFonts w:hint="eastAsia" w:ascii="楷体" w:hAnsi="楷体" w:eastAsia="楷体"/>
          <w:color w:val="auto"/>
          <w:highlight w:val="none"/>
          <w:u w:val="none"/>
          <w:lang w:eastAsia="zh-CN"/>
        </w:rPr>
        <w:fldChar w:fldCharType="end"/>
      </w:r>
      <w:r>
        <w:rPr>
          <w:rFonts w:hint="eastAsia" w:ascii="楷体" w:hAnsi="楷体" w:eastAsia="楷体"/>
          <w:color w:val="auto"/>
          <w:highlight w:val="none"/>
          <w:u w:val="none"/>
          <w:lang w:eastAsia="zh-CN"/>
        </w:rPr>
        <w:t>改为：</w:t>
      </w:r>
    </w:p>
    <w:p>
      <w:pPr>
        <w:autoSpaceDE w:val="0"/>
        <w:autoSpaceDN w:val="0"/>
        <w:adjustRightInd w:val="0"/>
        <w:ind w:firstLine="420" w:firstLineChars="200"/>
        <w:jc w:val="left"/>
        <w:rPr>
          <w:rFonts w:hint="eastAsia" w:ascii="楷体_GB2312" w:eastAsia="楷体_GB2312"/>
          <w:highlight w:val="none"/>
          <w:lang w:eastAsia="zh-CN"/>
        </w:rPr>
      </w:pPr>
      <w:r>
        <w:rPr>
          <w:rFonts w:hint="eastAsia" w:ascii="楷体_GB2312" w:eastAsia="楷体_GB2312"/>
          <w:highlight w:val="none"/>
          <w:lang w:eastAsia="zh-CN"/>
        </w:rPr>
        <w:t>“</w:t>
      </w:r>
      <w:r>
        <w:rPr>
          <w:rFonts w:hint="eastAsia" w:ascii="楷体_GB2312" w:eastAsia="楷体_GB2312"/>
          <w:highlight w:val="none"/>
          <w:lang w:eastAsia="zh-CN"/>
        </w:rPr>
        <w:fldChar w:fldCharType="begin"/>
      </w:r>
      <w:r>
        <w:rPr>
          <w:rFonts w:hint="eastAsia" w:ascii="楷体_GB2312" w:eastAsia="楷体_GB2312"/>
          <w:highlight w:val="none"/>
          <w:lang w:eastAsia="zh-CN"/>
        </w:rPr>
        <w:instrText xml:space="preserve"> = 1 \* GB3 \* MERGEFORMAT </w:instrText>
      </w:r>
      <w:r>
        <w:rPr>
          <w:rFonts w:hint="eastAsia" w:ascii="楷体_GB2312" w:eastAsia="楷体_GB2312"/>
          <w:highlight w:val="none"/>
          <w:lang w:eastAsia="zh-CN"/>
        </w:rPr>
        <w:fldChar w:fldCharType="separate"/>
      </w:r>
      <w:r>
        <w:t>①</w:t>
      </w:r>
      <w:r>
        <w:rPr>
          <w:rFonts w:hint="eastAsia" w:ascii="楷体_GB2312" w:eastAsia="楷体_GB2312"/>
          <w:highlight w:val="none"/>
          <w:lang w:eastAsia="zh-CN"/>
        </w:rPr>
        <w:fldChar w:fldCharType="end"/>
      </w:r>
      <w:r>
        <w:rPr>
          <w:rFonts w:hint="default" w:ascii="Times New Roman" w:hAnsi="Times New Roman" w:cs="Times New Roman"/>
        </w:rPr>
        <w:t>参见海上安全委员会MSC.188(79</w:t>
      </w:r>
      <w:r>
        <w:rPr>
          <w:rFonts w:hint="eastAsia" w:ascii="Times New Roman" w:hAnsi="Times New Roman" w:cs="Times New Roman"/>
          <w:lang w:eastAsia="zh-CN"/>
        </w:rPr>
        <w:t>）</w:t>
      </w:r>
      <w:r>
        <w:rPr>
          <w:rFonts w:hint="default" w:ascii="Times New Roman" w:hAnsi="Times New Roman" w:cs="Times New Roman"/>
        </w:rPr>
        <w:t>决议通过的《散货船和除散货船以外的单舱货船水位探测器性能标准》。</w:t>
      </w:r>
      <w:r>
        <w:rPr>
          <w:rFonts w:hint="eastAsia" w:ascii="Times New Roman" w:hAnsi="Times New Roman" w:cs="Times New Roman"/>
          <w:color w:val="FF0000"/>
          <w:highlight w:val="none"/>
          <w:u w:val="single"/>
          <w:lang w:val="en-US" w:eastAsia="zh-CN"/>
        </w:rPr>
        <w:t>对2024年1月1日安装的水位探测器，</w:t>
      </w:r>
      <w:r>
        <w:rPr>
          <w:rFonts w:hint="default" w:ascii="Times New Roman" w:hAnsi="Times New Roman" w:cs="Times New Roman"/>
          <w:color w:val="FF0000"/>
          <w:highlight w:val="none"/>
          <w:u w:val="single"/>
          <w:lang w:val="en-US" w:eastAsia="zh-CN"/>
        </w:rPr>
        <w:t>参见MSC.188(79)/Rev.1决议通过的《安装在适用SOLAS第II-1/25、第II-1/25-1和第</w:t>
      </w:r>
      <w:r>
        <w:rPr>
          <w:rFonts w:hint="default" w:ascii="Times New Roman" w:hAnsi="Times New Roman" w:cs="Times New Roman"/>
          <w:color w:val="FF0000"/>
          <w:highlight w:val="none"/>
          <w:u w:val="single"/>
          <w:lang w:val="en-US" w:eastAsia="zh-CN"/>
        </w:rPr>
        <w:fldChar w:fldCharType="begin"/>
      </w:r>
      <w:r>
        <w:rPr>
          <w:rFonts w:hint="default" w:ascii="Times New Roman" w:hAnsi="Times New Roman" w:cs="Times New Roman"/>
          <w:color w:val="FF0000"/>
          <w:highlight w:val="none"/>
          <w:u w:val="single"/>
          <w:lang w:val="en-US" w:eastAsia="zh-CN"/>
        </w:rPr>
        <w:instrText xml:space="preserve"> = 12 \* ROMAN \* MERGEFORMAT </w:instrText>
      </w:r>
      <w:r>
        <w:rPr>
          <w:rFonts w:hint="default" w:ascii="Times New Roman" w:hAnsi="Times New Roman" w:cs="Times New Roman"/>
          <w:color w:val="FF0000"/>
          <w:highlight w:val="none"/>
          <w:u w:val="single"/>
          <w:lang w:val="en-US" w:eastAsia="zh-CN"/>
        </w:rPr>
        <w:fldChar w:fldCharType="separate"/>
      </w:r>
      <w:r>
        <w:rPr>
          <w:rFonts w:hint="default" w:ascii="Times New Roman" w:hAnsi="Times New Roman" w:cs="Times New Roman"/>
          <w:color w:val="FF0000"/>
          <w:highlight w:val="none"/>
          <w:u w:val="single"/>
          <w:lang w:val="en-US" w:eastAsia="zh-CN"/>
        </w:rPr>
        <w:t>XII</w:t>
      </w:r>
      <w:r>
        <w:rPr>
          <w:rFonts w:hint="default" w:ascii="Times New Roman" w:hAnsi="Times New Roman" w:cs="Times New Roman"/>
          <w:color w:val="FF0000"/>
          <w:highlight w:val="none"/>
          <w:u w:val="single"/>
          <w:lang w:val="en-US" w:eastAsia="zh-CN"/>
        </w:rPr>
        <w:fldChar w:fldCharType="end"/>
      </w:r>
      <w:r>
        <w:rPr>
          <w:rFonts w:hint="default" w:ascii="Times New Roman" w:hAnsi="Times New Roman" w:cs="Times New Roman"/>
          <w:color w:val="FF0000"/>
          <w:highlight w:val="none"/>
          <w:u w:val="single"/>
          <w:lang w:val="en-US" w:eastAsia="zh-CN"/>
        </w:rPr>
        <w:t>/12的船舶上水位探测器性能标准》。</w:t>
      </w:r>
      <w:r>
        <w:rPr>
          <w:rFonts w:hint="eastAsia" w:ascii="楷体_GB2312" w:eastAsia="楷体_GB2312"/>
          <w:highlight w:val="none"/>
          <w:lang w:eastAsia="zh-CN"/>
        </w:rPr>
        <w:t>”</w:t>
      </w:r>
    </w:p>
    <w:p>
      <w:pPr>
        <w:autoSpaceDE w:val="0"/>
        <w:autoSpaceDN w:val="0"/>
        <w:adjustRightInd w:val="0"/>
        <w:ind w:firstLine="420" w:firstLineChars="200"/>
        <w:rPr>
          <w:rFonts w:hint="eastAsia" w:ascii="楷体" w:hAnsi="楷体" w:eastAsia="楷体"/>
          <w:color w:val="auto"/>
          <w:highlight w:val="none"/>
          <w:u w:val="none"/>
        </w:rPr>
      </w:pPr>
    </w:p>
    <w:p>
      <w:pPr>
        <w:autoSpaceDE w:val="0"/>
        <w:autoSpaceDN w:val="0"/>
        <w:adjustRightInd w:val="0"/>
        <w:ind w:firstLine="420" w:firstLineChars="200"/>
        <w:rPr>
          <w:rFonts w:hint="default" w:ascii="楷体" w:hAnsi="楷体" w:eastAsia="楷体"/>
          <w:color w:val="auto"/>
          <w:highlight w:val="none"/>
          <w:u w:val="none"/>
          <w:lang w:val="en-US" w:eastAsia="zh-CN"/>
        </w:rPr>
      </w:pPr>
      <w:r>
        <w:rPr>
          <w:rFonts w:hint="eastAsia" w:ascii="楷体" w:hAnsi="楷体" w:eastAsia="楷体"/>
          <w:color w:val="auto"/>
          <w:highlight w:val="none"/>
          <w:u w:val="none"/>
        </w:rPr>
        <w:t>自2024年1月1日起，</w:t>
      </w:r>
      <w:r>
        <w:rPr>
          <w:rFonts w:hint="eastAsia" w:ascii="楷体" w:hAnsi="楷体" w:eastAsia="楷体"/>
          <w:color w:val="auto"/>
          <w:highlight w:val="none"/>
          <w:u w:val="none"/>
          <w:lang w:eastAsia="zh-CN"/>
        </w:rPr>
        <w:t>第</w:t>
      </w:r>
      <w:r>
        <w:rPr>
          <w:rFonts w:hint="eastAsia" w:ascii="楷体" w:hAnsi="楷体" w:eastAsia="楷体"/>
          <w:color w:val="auto"/>
          <w:highlight w:val="none"/>
          <w:u w:val="none"/>
          <w:lang w:val="en-US" w:eastAsia="zh-CN"/>
        </w:rPr>
        <w:t>25条后，</w:t>
      </w:r>
      <w:r>
        <w:rPr>
          <w:rFonts w:hint="eastAsia" w:ascii="楷体" w:hAnsi="楷体" w:eastAsia="楷体"/>
          <w:color w:val="auto"/>
          <w:highlight w:val="none"/>
          <w:u w:val="none"/>
          <w:lang w:eastAsia="zh-CN"/>
        </w:rPr>
        <w:t>新增如下：</w:t>
      </w:r>
    </w:p>
    <w:p>
      <w:pPr>
        <w:pStyle w:val="4"/>
        <w:keepNext w:val="0"/>
        <w:keepLines w:val="0"/>
        <w:pageBreakBefore w:val="0"/>
        <w:widowControl/>
        <w:kinsoku/>
        <w:wordWrap/>
        <w:overflowPunct/>
        <w:topLinePunct w:val="0"/>
        <w:autoSpaceDE/>
        <w:autoSpaceDN/>
        <w:bidi w:val="0"/>
        <w:adjustRightInd/>
        <w:snapToGrid/>
        <w:ind w:left="0" w:firstLine="420"/>
        <w:jc w:val="center"/>
        <w:textAlignment w:val="auto"/>
        <w:outlineLvl w:val="2"/>
        <w:rPr>
          <w:rFonts w:hint="eastAsia" w:ascii="Times New Roman" w:hAnsi="Times New Roman" w:cstheme="minorBidi"/>
          <w:bCs w:val="0"/>
          <w:caps w:val="0"/>
          <w:kern w:val="0"/>
          <w:sz w:val="21"/>
          <w:szCs w:val="21"/>
          <w:highlight w:val="none"/>
          <w:lang w:val="en-US" w:eastAsia="zh-CN"/>
        </w:rPr>
      </w:pPr>
      <w:bookmarkStart w:id="46" w:name="_Toc16769"/>
      <w:r>
        <w:rPr>
          <w:rFonts w:hint="eastAsia" w:ascii="Times New Roman" w:hAnsi="Times New Roman" w:cstheme="minorBidi"/>
          <w:bCs w:val="0"/>
          <w:caps w:val="0"/>
          <w:kern w:val="0"/>
          <w:sz w:val="21"/>
          <w:szCs w:val="21"/>
          <w:highlight w:val="none"/>
          <w:lang w:val="en-US" w:eastAsia="zh-CN"/>
        </w:rPr>
        <w:t>“</w:t>
      </w:r>
      <w:r>
        <w:rPr>
          <w:rFonts w:hint="eastAsia" w:ascii="Times New Roman" w:hAnsi="Times New Roman" w:cstheme="minorBidi"/>
          <w:bCs w:val="0"/>
          <w:caps w:val="0"/>
          <w:color w:val="FF0000"/>
          <w:kern w:val="0"/>
          <w:sz w:val="21"/>
          <w:szCs w:val="21"/>
          <w:highlight w:val="none"/>
          <w:u w:val="single"/>
          <w:lang w:val="en-US" w:eastAsia="zh-CN"/>
        </w:rPr>
        <w:t>第25-1条  散货船和液货船以外的多舱货船水位探测器</w:t>
      </w:r>
      <w:bookmarkEnd w:id="46"/>
    </w:p>
    <w:p>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default" w:ascii="Times New Roman" w:hAnsi="Times New Roman" w:cs="Times New Roman" w:eastAsiaTheme="minorEastAsia"/>
          <w:color w:val="auto"/>
          <w:kern w:val="0"/>
          <w:szCs w:val="21"/>
          <w:highlight w:val="none"/>
          <w:u w:val="none"/>
        </w:rPr>
      </w:pPr>
      <w:r>
        <w:rPr>
          <w:rFonts w:hint="default" w:ascii="Times New Roman" w:hAnsi="Times New Roman" w:cs="Times New Roman" w:eastAsiaTheme="minorEastAsia"/>
          <w:color w:val="auto"/>
          <w:kern w:val="0"/>
          <w:szCs w:val="21"/>
          <w:highlight w:val="none"/>
          <w:u w:val="none"/>
        </w:rPr>
        <w:t>1  2024年1月1日或以后建造的散货船和液货船以外的多舱货船应在拟用于装载干货的每个货舱内装设水位探测器</w:t>
      </w:r>
      <w:r>
        <w:rPr>
          <w:rFonts w:hint="default" w:ascii="Times New Roman" w:hAnsi="Times New Roman" w:cs="Times New Roman" w:eastAsiaTheme="minorEastAsia"/>
          <w:color w:val="auto"/>
          <w:szCs w:val="21"/>
          <w:highlight w:val="none"/>
          <w:u w:val="none"/>
          <w:vertAlign w:val="superscript"/>
        </w:rPr>
        <w:footnoteReference w:id="13"/>
      </w:r>
      <w:r>
        <w:rPr>
          <w:rFonts w:hint="default" w:ascii="Times New Roman" w:hAnsi="Times New Roman" w:cs="Times New Roman" w:eastAsiaTheme="minorEastAsia"/>
          <w:color w:val="auto"/>
          <w:kern w:val="0"/>
          <w:szCs w:val="21"/>
          <w:highlight w:val="none"/>
          <w:u w:val="none"/>
        </w:rPr>
        <w:t>。完全位于干舷甲板上方的货舱不必装设水位探测器。</w:t>
      </w:r>
    </w:p>
    <w:p>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default" w:ascii="Times New Roman" w:hAnsi="Times New Roman" w:cs="Times New Roman" w:eastAsiaTheme="minorEastAsia"/>
          <w:color w:val="auto"/>
          <w:kern w:val="0"/>
          <w:szCs w:val="21"/>
          <w:highlight w:val="none"/>
          <w:u w:val="none"/>
        </w:rPr>
      </w:pPr>
      <w:r>
        <w:rPr>
          <w:rFonts w:hint="default" w:ascii="Times New Roman" w:hAnsi="Times New Roman" w:cs="Times New Roman" w:eastAsiaTheme="minorEastAsia"/>
          <w:color w:val="auto"/>
          <w:kern w:val="0"/>
          <w:szCs w:val="21"/>
          <w:highlight w:val="none"/>
          <w:u w:val="none"/>
        </w:rPr>
        <w:t>2  本条1要求的水位探测器应：</w:t>
      </w:r>
    </w:p>
    <w:p>
      <w:pPr>
        <w:keepNext w:val="0"/>
        <w:keepLines w:val="0"/>
        <w:pageBreakBefore w:val="0"/>
        <w:widowControl w:val="0"/>
        <w:kinsoku/>
        <w:wordWrap/>
        <w:overflowPunct/>
        <w:topLinePunct w:val="0"/>
        <w:autoSpaceDE/>
        <w:autoSpaceDN/>
        <w:bidi w:val="0"/>
        <w:adjustRightInd/>
        <w:snapToGrid/>
        <w:ind w:left="1050" w:leftChars="150" w:hanging="735" w:hangingChars="350"/>
        <w:textAlignment w:val="auto"/>
        <w:rPr>
          <w:rFonts w:hint="default" w:ascii="Times New Roman" w:hAnsi="Times New Roman" w:cs="Times New Roman" w:eastAsiaTheme="minorEastAsia"/>
          <w:color w:val="auto"/>
          <w:kern w:val="0"/>
          <w:szCs w:val="21"/>
          <w:highlight w:val="none"/>
          <w:u w:val="none"/>
        </w:rPr>
      </w:pPr>
      <w:r>
        <w:rPr>
          <w:rFonts w:hint="default" w:ascii="Times New Roman" w:hAnsi="Times New Roman" w:cs="Times New Roman" w:eastAsiaTheme="minorEastAsia"/>
          <w:color w:val="auto"/>
          <w:kern w:val="0"/>
          <w:szCs w:val="21"/>
          <w:highlight w:val="none"/>
          <w:u w:val="none"/>
        </w:rPr>
        <w:t xml:space="preserve">    .1  当货舱水位达到货舱底部以上不少于0.3 m时在驾驶室发出一次听觉和视觉报警，当水位达到不少于货舱深度15%但不超过2 m时再发出一次听觉和视觉报警；和</w:t>
      </w:r>
    </w:p>
    <w:p>
      <w:pPr>
        <w:keepNext w:val="0"/>
        <w:keepLines w:val="0"/>
        <w:pageBreakBefore w:val="0"/>
        <w:widowControl w:val="0"/>
        <w:kinsoku/>
        <w:wordWrap/>
        <w:overflowPunct/>
        <w:topLinePunct w:val="0"/>
        <w:autoSpaceDE/>
        <w:autoSpaceDN/>
        <w:bidi w:val="0"/>
        <w:adjustRightInd/>
        <w:snapToGrid/>
        <w:ind w:left="1050" w:leftChars="350" w:hanging="315" w:hangingChars="150"/>
        <w:textAlignment w:val="auto"/>
        <w:rPr>
          <w:rFonts w:hint="default" w:ascii="Times New Roman" w:hAnsi="Times New Roman" w:cs="Times New Roman" w:eastAsiaTheme="minorEastAsia"/>
          <w:color w:val="auto"/>
          <w:kern w:val="0"/>
          <w:szCs w:val="21"/>
          <w:highlight w:val="none"/>
          <w:u w:val="none"/>
        </w:rPr>
      </w:pPr>
      <w:r>
        <w:rPr>
          <w:rFonts w:hint="default" w:ascii="Times New Roman" w:hAnsi="Times New Roman" w:cs="Times New Roman" w:eastAsiaTheme="minorEastAsia"/>
          <w:color w:val="auto"/>
          <w:kern w:val="0"/>
          <w:szCs w:val="21"/>
          <w:highlight w:val="none"/>
          <w:u w:val="none"/>
        </w:rPr>
        <w:t>.2　安装在货舱的后端。对于偶尔用做水压载的货舱，可安装一个报警越控装置。视觉报警器应能明显区分每一货舱中探测到的两种不同的水位。</w:t>
      </w:r>
    </w:p>
    <w:p>
      <w:pPr>
        <w:keepNext w:val="0"/>
        <w:keepLines w:val="0"/>
        <w:pageBreakBefore w:val="0"/>
        <w:widowControl w:val="0"/>
        <w:kinsoku/>
        <w:wordWrap/>
        <w:overflowPunct/>
        <w:topLinePunct w:val="0"/>
        <w:autoSpaceDE/>
        <w:autoSpaceDN/>
        <w:bidi w:val="0"/>
        <w:adjustRightInd/>
        <w:snapToGrid/>
        <w:ind w:left="707" w:leftChars="200" w:hanging="287" w:hangingChars="137"/>
        <w:textAlignment w:val="auto"/>
        <w:rPr>
          <w:rFonts w:hint="default" w:ascii="Times New Roman" w:hAnsi="Times New Roman" w:cs="Times New Roman" w:eastAsiaTheme="minorEastAsia"/>
          <w:color w:val="auto"/>
          <w:kern w:val="0"/>
          <w:szCs w:val="21"/>
          <w:highlight w:val="none"/>
          <w:u w:val="none"/>
        </w:rPr>
      </w:pPr>
      <w:r>
        <w:rPr>
          <w:rFonts w:hint="default" w:ascii="Times New Roman" w:hAnsi="Times New Roman" w:cs="Times New Roman" w:eastAsiaTheme="minorEastAsia"/>
          <w:color w:val="auto"/>
          <w:kern w:val="0"/>
          <w:szCs w:val="21"/>
          <w:highlight w:val="none"/>
          <w:u w:val="none"/>
        </w:rPr>
        <w:t>3  作为本条2.1规定的高度不少于0.3 m的水位探测器的替代措施，服务于第35-1条要求的舱底水泵送装置，且安装在货舱舱底污水井或其他合适位置的舱底水位传感器</w:t>
      </w:r>
      <w:r>
        <w:rPr>
          <w:rFonts w:hint="default" w:ascii="Times New Roman" w:hAnsi="Times New Roman" w:cs="Times New Roman" w:eastAsiaTheme="minorEastAsia"/>
          <w:color w:val="auto"/>
          <w:szCs w:val="21"/>
          <w:highlight w:val="none"/>
          <w:u w:val="none"/>
          <w:vertAlign w:val="superscript"/>
        </w:rPr>
        <w:footnoteReference w:id="14"/>
      </w:r>
      <w:r>
        <w:rPr>
          <w:rFonts w:hint="default" w:ascii="Times New Roman" w:hAnsi="Times New Roman" w:cs="Times New Roman" w:eastAsiaTheme="minorEastAsia"/>
          <w:color w:val="auto"/>
          <w:kern w:val="0"/>
          <w:szCs w:val="21"/>
          <w:highlight w:val="none"/>
          <w:u w:val="none"/>
        </w:rPr>
        <w:t>应视为可接受，条件是：</w:t>
      </w:r>
    </w:p>
    <w:p>
      <w:pPr>
        <w:keepNext w:val="0"/>
        <w:keepLines w:val="0"/>
        <w:pageBreakBefore w:val="0"/>
        <w:widowControl w:val="0"/>
        <w:kinsoku/>
        <w:wordWrap/>
        <w:overflowPunct/>
        <w:topLinePunct w:val="0"/>
        <w:autoSpaceDE/>
        <w:autoSpaceDN/>
        <w:bidi w:val="0"/>
        <w:adjustRightInd/>
        <w:snapToGrid/>
        <w:ind w:left="1050" w:leftChars="350" w:hanging="315" w:hangingChars="150"/>
        <w:textAlignment w:val="auto"/>
        <w:rPr>
          <w:rFonts w:hint="default" w:ascii="Times New Roman" w:hAnsi="Times New Roman" w:cs="Times New Roman" w:eastAsiaTheme="minorEastAsia"/>
          <w:color w:val="auto"/>
          <w:kern w:val="0"/>
          <w:szCs w:val="21"/>
          <w:highlight w:val="none"/>
          <w:u w:val="none"/>
        </w:rPr>
      </w:pPr>
      <w:r>
        <w:rPr>
          <w:rFonts w:hint="default" w:ascii="Times New Roman" w:hAnsi="Times New Roman" w:cs="Times New Roman" w:eastAsiaTheme="minorEastAsia"/>
          <w:color w:val="auto"/>
          <w:kern w:val="0"/>
          <w:szCs w:val="21"/>
          <w:highlight w:val="none"/>
          <w:u w:val="none"/>
        </w:rPr>
        <w:t>.1  在货舱后端不少于0.3 m高度处设有舱底水位传感器；和</w:t>
      </w:r>
    </w:p>
    <w:p>
      <w:pPr>
        <w:keepNext w:val="0"/>
        <w:keepLines w:val="0"/>
        <w:pageBreakBefore w:val="0"/>
        <w:widowControl w:val="0"/>
        <w:kinsoku/>
        <w:wordWrap/>
        <w:overflowPunct/>
        <w:topLinePunct w:val="0"/>
        <w:autoSpaceDE/>
        <w:autoSpaceDN/>
        <w:bidi w:val="0"/>
        <w:adjustRightInd/>
        <w:snapToGrid/>
        <w:ind w:left="1130" w:leftChars="337" w:hanging="422" w:hangingChars="201"/>
        <w:textAlignment w:val="auto"/>
        <w:rPr>
          <w:rFonts w:hint="default" w:ascii="Times New Roman" w:hAnsi="Times New Roman" w:cs="Times New Roman" w:eastAsiaTheme="minorEastAsia"/>
          <w:color w:val="auto"/>
          <w:kern w:val="0"/>
          <w:szCs w:val="21"/>
          <w:highlight w:val="none"/>
          <w:u w:val="none"/>
          <w:lang w:eastAsia="zh-CN"/>
        </w:rPr>
      </w:pPr>
      <w:r>
        <w:rPr>
          <w:rFonts w:hint="default" w:ascii="Times New Roman" w:hAnsi="Times New Roman" w:cs="Times New Roman" w:eastAsiaTheme="minorEastAsia"/>
          <w:color w:val="auto"/>
          <w:kern w:val="0"/>
          <w:szCs w:val="21"/>
          <w:highlight w:val="none"/>
          <w:u w:val="none"/>
        </w:rPr>
        <w:t>.2  舱底水位传感器在驾驶室发出听觉和视觉报警，与设在货舱内的另一个水位探测器发出的报警明显不同。</w:t>
      </w:r>
      <w:r>
        <w:rPr>
          <w:rFonts w:hint="default" w:ascii="Times New Roman" w:hAnsi="Times New Roman" w:cs="Times New Roman" w:eastAsiaTheme="minorEastAsia"/>
          <w:color w:val="auto"/>
          <w:kern w:val="0"/>
          <w:szCs w:val="21"/>
          <w:highlight w:val="none"/>
          <w:u w:val="none"/>
          <w:lang w:eastAsia="zh-CN"/>
        </w:rPr>
        <w:t>”</w:t>
      </w:r>
    </w:p>
    <w:p>
      <w:pPr>
        <w:keepNext w:val="0"/>
        <w:keepLines w:val="0"/>
        <w:pageBreakBefore w:val="0"/>
        <w:widowControl w:val="0"/>
        <w:kinsoku/>
        <w:wordWrap/>
        <w:overflowPunct/>
        <w:topLinePunct w:val="0"/>
        <w:autoSpaceDE/>
        <w:autoSpaceDN/>
        <w:bidi w:val="0"/>
        <w:adjustRightInd/>
        <w:snapToGrid/>
        <w:ind w:left="1130" w:leftChars="337" w:hanging="422" w:hangingChars="201"/>
        <w:textAlignment w:val="auto"/>
        <w:rPr>
          <w:rFonts w:hint="eastAsia" w:ascii="Times New Roman" w:hAnsi="Times New Roman" w:cs="Times New Roman" w:eastAsiaTheme="minorEastAsia"/>
          <w:color w:val="auto"/>
          <w:kern w:val="0"/>
          <w:szCs w:val="21"/>
          <w:highlight w:val="none"/>
          <w:u w:val="none"/>
          <w:lang w:eastAsia="zh-CN"/>
        </w:rPr>
      </w:pPr>
    </w:p>
    <w:p>
      <w:pPr>
        <w:pStyle w:val="3"/>
        <w:ind w:left="0" w:firstLine="562"/>
        <w:jc w:val="center"/>
        <w:rPr>
          <w:rFonts w:hint="default" w:ascii="Times New Roman" w:hAnsi="Times New Roman" w:cs="Times New Roman" w:eastAsiaTheme="minorEastAsia"/>
          <w:b w:val="0"/>
          <w:kern w:val="2"/>
          <w:sz w:val="28"/>
          <w:szCs w:val="28"/>
          <w:highlight w:val="none"/>
          <w:lang w:eastAsia="zh-CN"/>
        </w:rPr>
      </w:pPr>
      <w:bookmarkStart w:id="47" w:name="_Toc14455"/>
      <w:r>
        <w:rPr>
          <w:rFonts w:hint="default" w:ascii="Times New Roman" w:hAnsi="Times New Roman" w:cs="Times New Roman"/>
          <w:bCs w:val="0"/>
          <w:caps w:val="0"/>
          <w:kern w:val="2"/>
          <w:sz w:val="28"/>
          <w:szCs w:val="28"/>
          <w:highlight w:val="none"/>
          <w:lang w:val="en-US" w:eastAsia="zh-CN"/>
        </w:rPr>
        <w:t>D</w:t>
      </w:r>
      <w:r>
        <w:rPr>
          <w:rFonts w:hint="default" w:ascii="Times New Roman" w:hAnsi="Times New Roman" w:cs="Times New Roman"/>
          <w:bCs w:val="0"/>
          <w:caps w:val="0"/>
          <w:kern w:val="2"/>
          <w:sz w:val="28"/>
          <w:szCs w:val="28"/>
          <w:highlight w:val="none"/>
          <w:lang w:val="en-US"/>
        </w:rPr>
        <w:t>部分　</w:t>
      </w:r>
      <w:r>
        <w:rPr>
          <w:rFonts w:hint="default" w:ascii="Times New Roman" w:hAnsi="Times New Roman" w:cs="Times New Roman"/>
          <w:bCs w:val="0"/>
          <w:caps w:val="0"/>
          <w:kern w:val="2"/>
          <w:sz w:val="28"/>
          <w:szCs w:val="28"/>
          <w:highlight w:val="none"/>
          <w:lang w:val="en-US" w:eastAsia="zh-CN"/>
        </w:rPr>
        <w:t>电气装置</w:t>
      </w:r>
      <w:bookmarkEnd w:id="47"/>
    </w:p>
    <w:p>
      <w:pPr>
        <w:autoSpaceDE w:val="0"/>
        <w:autoSpaceDN w:val="0"/>
        <w:adjustRightInd w:val="0"/>
        <w:ind w:firstLine="420" w:firstLineChars="200"/>
        <w:jc w:val="center"/>
        <w:rPr>
          <w:rFonts w:ascii="Times New Roman" w:hAnsi="Times New Roman"/>
          <w:kern w:val="0"/>
          <w:highlight w:val="none"/>
        </w:rPr>
      </w:pPr>
    </w:p>
    <w:p>
      <w:pPr>
        <w:pStyle w:val="4"/>
        <w:keepNext w:val="0"/>
        <w:keepLines w:val="0"/>
        <w:pageBreakBefore w:val="0"/>
        <w:widowControl/>
        <w:kinsoku/>
        <w:wordWrap/>
        <w:overflowPunct/>
        <w:topLinePunct w:val="0"/>
        <w:autoSpaceDE/>
        <w:autoSpaceDN/>
        <w:bidi w:val="0"/>
        <w:adjustRightInd/>
        <w:snapToGrid/>
        <w:ind w:left="0" w:firstLine="317"/>
        <w:jc w:val="center"/>
        <w:textAlignment w:val="auto"/>
        <w:outlineLvl w:val="2"/>
        <w:rPr>
          <w:rFonts w:hint="eastAsia" w:ascii="Times New Roman" w:hAnsi="Times New Roman" w:eastAsiaTheme="minorEastAsia"/>
          <w:kern w:val="0"/>
          <w:highlight w:val="none"/>
          <w:lang w:eastAsia="zh-CN"/>
        </w:rPr>
      </w:pPr>
      <w:bookmarkStart w:id="48" w:name="_Toc6804"/>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42</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客船应急电源</w:t>
      </w:r>
      <w:bookmarkEnd w:id="48"/>
    </w:p>
    <w:p>
      <w:pPr>
        <w:pStyle w:val="24"/>
        <w:ind w:firstLine="420"/>
        <w:rPr>
          <w:rFonts w:hint="eastAsia" w:ascii="楷体" w:hAnsi="楷体" w:eastAsia="楷体"/>
          <w:color w:val="FF0000"/>
          <w:highlight w:val="none"/>
          <w:u w:val="single"/>
        </w:rPr>
      </w:pPr>
    </w:p>
    <w:p>
      <w:pPr>
        <w:pStyle w:val="24"/>
        <w:ind w:firstLine="420"/>
        <w:rPr>
          <w:rFonts w:hint="eastAsia" w:ascii="楷体" w:hAnsi="楷体" w:eastAsia="楷体"/>
          <w:color w:val="auto"/>
          <w:highlight w:val="none"/>
          <w:u w:val="none"/>
        </w:rPr>
      </w:pPr>
      <w:r>
        <w:rPr>
          <w:rFonts w:hint="eastAsia" w:ascii="楷体" w:hAnsi="楷体" w:eastAsia="楷体"/>
          <w:color w:val="auto"/>
          <w:highlight w:val="none"/>
          <w:u w:val="none"/>
        </w:rPr>
        <w:t>自2024年1月1日起，</w:t>
      </w:r>
      <w:r>
        <w:rPr>
          <w:rFonts w:hint="eastAsia" w:ascii="楷体" w:hAnsi="楷体" w:eastAsia="楷体"/>
          <w:color w:val="auto"/>
          <w:highlight w:val="none"/>
          <w:u w:val="none"/>
          <w:lang w:eastAsia="zh-CN"/>
        </w:rPr>
        <w:t>原</w:t>
      </w:r>
      <w:r>
        <w:rPr>
          <w:rFonts w:hint="eastAsia" w:ascii="楷体" w:hAnsi="楷体" w:eastAsia="楷体"/>
          <w:color w:val="auto"/>
          <w:highlight w:val="none"/>
          <w:u w:val="none"/>
        </w:rPr>
        <w:t>4.2</w:t>
      </w:r>
      <w:r>
        <w:rPr>
          <w:rFonts w:hint="eastAsia" w:ascii="楷体" w:hAnsi="楷体" w:eastAsia="楷体"/>
          <w:color w:val="auto"/>
          <w:highlight w:val="none"/>
          <w:u w:val="none"/>
          <w:lang w:eastAsia="zh-CN"/>
        </w:rPr>
        <w:t>改为：</w:t>
      </w:r>
    </w:p>
    <w:p>
      <w:pPr>
        <w:pStyle w:val="24"/>
        <w:ind w:firstLine="420"/>
        <w:rPr>
          <w:rFonts w:hint="eastAsia" w:ascii="楷体" w:hAnsi="楷体" w:eastAsia="楷体"/>
          <w:color w:val="auto"/>
          <w:highlight w:val="none"/>
          <w:u w:val="none"/>
          <w:lang w:eastAsia="zh-CN"/>
        </w:rPr>
      </w:pPr>
      <w:r>
        <w:rPr>
          <w:rFonts w:hint="eastAsia" w:ascii="楷体" w:hAnsi="楷体" w:eastAsia="楷体"/>
          <w:color w:val="auto"/>
          <w:highlight w:val="none"/>
          <w:u w:val="none"/>
          <w:lang w:eastAsia="zh-CN"/>
        </w:rPr>
        <w:t>“</w:t>
      </w:r>
      <w:r>
        <w:rPr>
          <w:rFonts w:ascii="Times New Roman" w:hAnsi="Times New Roman"/>
        </w:rPr>
        <w:t>4.2</w:t>
      </w:r>
      <w:r>
        <w:rPr>
          <w:rFonts w:hint="eastAsia" w:ascii="Times New Roman" w:hAnsi="Times New Roman"/>
        </w:rPr>
        <w:t>　</w:t>
      </w:r>
      <w:r>
        <w:rPr>
          <w:rFonts w:ascii="Times New Roman" w:hAnsi="Times New Roman"/>
        </w:rPr>
        <w:t>第</w:t>
      </w:r>
      <w:r>
        <w:rPr>
          <w:rFonts w:hint="eastAsia" w:ascii="Times New Roman" w:hAnsi="Times New Roman"/>
          <w:strike/>
          <w:dstrike w:val="0"/>
          <w:color w:val="FF0000"/>
        </w:rPr>
        <w:t>1</w:t>
      </w:r>
      <w:r>
        <w:rPr>
          <w:rFonts w:hint="eastAsia" w:ascii="Times New Roman" w:hAnsi="Times New Roman"/>
          <w:strike/>
          <w:dstrike w:val="0"/>
          <w:color w:val="FF0000"/>
          <w:lang w:val="en-US" w:eastAsia="zh-CN"/>
        </w:rPr>
        <w:t>5</w:t>
      </w:r>
      <w:r>
        <w:rPr>
          <w:rFonts w:hint="eastAsia" w:ascii="Times New Roman" w:hAnsi="Times New Roman"/>
          <w:strike/>
          <w:dstrike w:val="0"/>
          <w:color w:val="FF0000"/>
        </w:rPr>
        <w:t>.7.3.3</w:t>
      </w:r>
      <w:r>
        <w:rPr>
          <w:rFonts w:hint="eastAsia" w:ascii="Times New Roman" w:hAnsi="Times New Roman"/>
          <w:color w:val="FF0000"/>
          <w:u w:val="single"/>
          <w:lang w:val="en-US" w:eastAsia="zh-CN"/>
        </w:rPr>
        <w:t>13.6.3.3</w:t>
      </w:r>
      <w:r>
        <w:rPr>
          <w:rFonts w:ascii="Times New Roman" w:hAnsi="Times New Roman"/>
        </w:rPr>
        <w:t>条要求动力操作的水密门，但不要求同时操作所有的水密门，除非设有一独立的过渡性储备能源</w:t>
      </w:r>
      <w:r>
        <w:rPr>
          <w:rFonts w:hint="eastAsia" w:ascii="Times New Roman" w:hAnsi="Times New Roman"/>
        </w:rPr>
        <w:t>，</w:t>
      </w:r>
      <w:r>
        <w:rPr>
          <w:rFonts w:ascii="Times New Roman" w:hAnsi="Times New Roman"/>
        </w:rPr>
        <w:t>并应对第</w:t>
      </w:r>
      <w:r>
        <w:rPr>
          <w:rFonts w:hint="eastAsia" w:ascii="Times New Roman" w:hAnsi="Times New Roman"/>
          <w:strike/>
          <w:dstrike w:val="0"/>
          <w:color w:val="FF0000"/>
          <w:lang w:val="en-US" w:eastAsia="zh-CN"/>
        </w:rPr>
        <w:t>15.7.2</w:t>
      </w:r>
      <w:r>
        <w:rPr>
          <w:rFonts w:hint="eastAsia" w:ascii="Times New Roman" w:hAnsi="Times New Roman"/>
          <w:color w:val="FF0000"/>
          <w:u w:val="single"/>
        </w:rPr>
        <w:t>13.6.2</w:t>
      </w:r>
      <w:r>
        <w:rPr>
          <w:rFonts w:ascii="Times New Roman" w:hAnsi="Times New Roman"/>
        </w:rPr>
        <w:t>条要求的动力控制、指示和报警电路供电0.5</w:t>
      </w:r>
      <w:r>
        <w:rPr>
          <w:rFonts w:hint="eastAsia" w:ascii="Times New Roman" w:hAnsi="Times New Roman"/>
        </w:rPr>
        <w:t xml:space="preserve"> </w:t>
      </w:r>
      <w:r>
        <w:rPr>
          <w:rFonts w:ascii="Times New Roman" w:hAnsi="Times New Roman"/>
        </w:rPr>
        <w:t>h。</w:t>
      </w:r>
      <w:r>
        <w:rPr>
          <w:rFonts w:hint="eastAsia" w:ascii="楷体" w:hAnsi="楷体" w:eastAsia="楷体"/>
          <w:color w:val="auto"/>
          <w:highlight w:val="none"/>
          <w:u w:val="none"/>
          <w:lang w:eastAsia="zh-CN"/>
        </w:rPr>
        <w:t>”</w:t>
      </w:r>
    </w:p>
    <w:p>
      <w:pPr>
        <w:ind w:firstLine="420" w:firstLineChars="200"/>
        <w:rPr>
          <w:rFonts w:hint="eastAsia" w:ascii="Times New Roman" w:hAnsi="Times New Roman" w:cstheme="minorBidi"/>
          <w:bCs w:val="0"/>
          <w:caps w:val="0"/>
          <w:kern w:val="0"/>
          <w:sz w:val="21"/>
          <w:szCs w:val="21"/>
          <w:highlight w:val="none"/>
          <w:lang w:val="en-US"/>
        </w:rPr>
      </w:pPr>
      <w:r>
        <w:rPr>
          <w:rFonts w:hint="eastAsia" w:ascii="Times New Roman" w:hAnsi="Times New Roman" w:cstheme="minorBidi"/>
          <w:bCs w:val="0"/>
          <w:caps w:val="0"/>
          <w:kern w:val="0"/>
          <w:sz w:val="21"/>
          <w:szCs w:val="21"/>
          <w:highlight w:val="none"/>
          <w:lang w:val="en-US"/>
        </w:rPr>
        <w:br w:type="page"/>
      </w:r>
    </w:p>
    <w:bookmarkEnd w:id="44"/>
    <w:p>
      <w:pPr>
        <w:keepNext w:val="0"/>
        <w:keepLines w:val="0"/>
        <w:pageBreakBefore w:val="0"/>
        <w:widowControl/>
        <w:kinsoku/>
        <w:wordWrap/>
        <w:overflowPunct/>
        <w:topLinePunct w:val="0"/>
        <w:autoSpaceDE/>
        <w:autoSpaceDN/>
        <w:bidi w:val="0"/>
        <w:adjustRightInd/>
        <w:snapToGrid/>
        <w:ind w:left="0" w:firstLine="482"/>
        <w:jc w:val="center"/>
        <w:textAlignment w:val="auto"/>
        <w:outlineLvl w:val="9"/>
        <w:rPr>
          <w:rFonts w:hint="eastAsia" w:cstheme="minorBidi"/>
          <w:bCs w:val="0"/>
          <w:caps w:val="0"/>
          <w:kern w:val="2"/>
          <w:sz w:val="32"/>
          <w:highlight w:val="none"/>
          <w:lang w:val="en-US"/>
        </w:rPr>
      </w:pPr>
    </w:p>
    <w:p>
      <w:pPr>
        <w:pStyle w:val="2"/>
        <w:ind w:left="0" w:firstLine="480"/>
        <w:jc w:val="center"/>
        <w:rPr>
          <w:sz w:val="32"/>
          <w:highlight w:val="none"/>
        </w:rPr>
      </w:pPr>
      <w:bookmarkStart w:id="49" w:name="_Toc6640"/>
      <w:r>
        <w:rPr>
          <w:rFonts w:hint="eastAsia" w:cstheme="minorBidi"/>
          <w:bCs w:val="0"/>
          <w:caps w:val="0"/>
          <w:kern w:val="2"/>
          <w:sz w:val="32"/>
          <w:highlight w:val="none"/>
          <w:lang w:val="en-US"/>
        </w:rPr>
        <w:t>第</w:t>
      </w:r>
      <w:r>
        <w:rPr>
          <w:rFonts w:cstheme="minorBidi"/>
          <w:bCs w:val="0"/>
          <w:caps w:val="0"/>
          <w:kern w:val="2"/>
          <w:sz w:val="32"/>
          <w:highlight w:val="none"/>
          <w:lang w:val="en-US"/>
        </w:rPr>
        <w:t>2-2</w:t>
      </w:r>
      <w:r>
        <w:rPr>
          <w:rFonts w:hint="eastAsia" w:cstheme="minorBidi"/>
          <w:bCs w:val="0"/>
          <w:caps w:val="0"/>
          <w:kern w:val="2"/>
          <w:sz w:val="32"/>
          <w:highlight w:val="none"/>
          <w:lang w:val="en-US"/>
        </w:rPr>
        <w:t>章</w:t>
      </w:r>
      <w:r>
        <w:rPr>
          <w:rFonts w:cstheme="minorBidi"/>
          <w:bCs w:val="0"/>
          <w:caps w:val="0"/>
          <w:kern w:val="2"/>
          <w:sz w:val="32"/>
          <w:highlight w:val="none"/>
          <w:lang w:val="en-US"/>
        </w:rPr>
        <w:t xml:space="preserve">  </w:t>
      </w:r>
      <w:r>
        <w:rPr>
          <w:rFonts w:hint="eastAsia" w:cstheme="minorBidi"/>
          <w:bCs w:val="0"/>
          <w:caps w:val="0"/>
          <w:kern w:val="2"/>
          <w:sz w:val="32"/>
          <w:highlight w:val="none"/>
          <w:lang w:val="en-US"/>
        </w:rPr>
        <w:t>构造</w:t>
      </w:r>
      <w:r>
        <w:rPr>
          <w:rFonts w:cstheme="minorBidi"/>
          <w:bCs w:val="0"/>
          <w:caps w:val="0"/>
          <w:kern w:val="2"/>
          <w:sz w:val="32"/>
          <w:highlight w:val="none"/>
          <w:lang w:val="en-US"/>
        </w:rPr>
        <w:t xml:space="preserve"> —</w:t>
      </w:r>
      <w:r>
        <w:rPr>
          <w:rFonts w:hint="eastAsia" w:cstheme="minorBidi"/>
          <w:bCs w:val="0"/>
          <w:caps w:val="0"/>
          <w:kern w:val="2"/>
          <w:sz w:val="32"/>
          <w:highlight w:val="none"/>
          <w:lang w:val="en-US"/>
        </w:rPr>
        <w:t>防火、探火和灭火</w:t>
      </w:r>
      <w:bookmarkEnd w:id="49"/>
    </w:p>
    <w:p>
      <w:pPr>
        <w:jc w:val="center"/>
        <w:outlineLvl w:val="1"/>
        <w:rPr>
          <w:b/>
          <w:sz w:val="28"/>
          <w:szCs w:val="28"/>
          <w:highlight w:val="none"/>
        </w:rPr>
      </w:pPr>
      <w:bookmarkStart w:id="50" w:name="_Toc31410"/>
      <w:r>
        <w:rPr>
          <w:b/>
          <w:sz w:val="28"/>
          <w:szCs w:val="28"/>
          <w:highlight w:val="none"/>
        </w:rPr>
        <w:t>（SOLAS公约第II-2章）</w:t>
      </w:r>
      <w:bookmarkEnd w:id="50"/>
    </w:p>
    <w:p>
      <w:pPr>
        <w:pStyle w:val="3"/>
        <w:ind w:left="0" w:firstLine="560"/>
        <w:jc w:val="center"/>
        <w:rPr>
          <w:rFonts w:ascii="宋体" w:hAnsi="宋体"/>
          <w:sz w:val="28"/>
          <w:szCs w:val="28"/>
          <w:highlight w:val="none"/>
        </w:rPr>
      </w:pPr>
      <w:bookmarkStart w:id="51" w:name="_Toc3099"/>
      <w:r>
        <w:rPr>
          <w:rFonts w:ascii="宋体" w:hAnsi="宋体" w:cstheme="minorBidi"/>
          <w:bCs w:val="0"/>
          <w:caps w:val="0"/>
          <w:kern w:val="2"/>
          <w:sz w:val="28"/>
          <w:szCs w:val="28"/>
          <w:highlight w:val="none"/>
          <w:lang w:val="en-US"/>
        </w:rPr>
        <w:t>说  明</w:t>
      </w:r>
      <w:bookmarkEnd w:id="51"/>
    </w:p>
    <w:p>
      <w:pPr>
        <w:tabs>
          <w:tab w:val="left" w:pos="540"/>
        </w:tabs>
        <w:snapToGrid w:val="0"/>
        <w:spacing w:after="156" w:afterLines="50"/>
        <w:ind w:firstLine="562" w:firstLineChars="200"/>
        <w:jc w:val="center"/>
        <w:rPr>
          <w:rFonts w:ascii="宋体" w:hAnsi="宋体"/>
          <w:b/>
          <w:sz w:val="28"/>
          <w:szCs w:val="28"/>
          <w:highlight w:val="none"/>
        </w:rPr>
      </w:pPr>
    </w:p>
    <w:p>
      <w:pPr>
        <w:tabs>
          <w:tab w:val="left" w:pos="540"/>
        </w:tabs>
        <w:snapToGrid w:val="0"/>
        <w:spacing w:after="156" w:afterLines="50"/>
        <w:ind w:firstLine="562" w:firstLineChars="200"/>
        <w:jc w:val="center"/>
        <w:rPr>
          <w:rFonts w:ascii="宋体" w:hAnsi="宋体"/>
          <w:b/>
          <w:sz w:val="28"/>
          <w:szCs w:val="28"/>
          <w:highlight w:val="none"/>
        </w:rPr>
      </w:pPr>
    </w:p>
    <w:p>
      <w:pPr>
        <w:tabs>
          <w:tab w:val="left" w:pos="540"/>
        </w:tabs>
        <w:snapToGrid w:val="0"/>
        <w:spacing w:after="156" w:afterLines="50"/>
        <w:ind w:firstLine="420" w:firstLineChars="200"/>
        <w:jc w:val="left"/>
        <w:rPr>
          <w:rFonts w:ascii="楷体_GB2312" w:eastAsia="楷体_GB2312"/>
          <w:highlight w:val="none"/>
        </w:rPr>
      </w:pPr>
      <w:r>
        <w:rPr>
          <w:rFonts w:hint="eastAsia" w:ascii="楷体_GB2312" w:eastAsia="楷体_GB2312"/>
          <w:highlight w:val="none"/>
          <w:lang w:eastAsia="zh-CN"/>
        </w:rPr>
        <w:t>原</w:t>
      </w:r>
      <w:r>
        <w:rPr>
          <w:rFonts w:hint="eastAsia" w:ascii="楷体_GB2312" w:eastAsia="楷体_GB2312"/>
          <w:highlight w:val="none"/>
        </w:rPr>
        <w:t>2.中的一览表最后</w:t>
      </w:r>
      <w:r>
        <w:rPr>
          <w:rFonts w:hint="eastAsia" w:ascii="楷体_GB2312" w:eastAsia="楷体_GB2312"/>
          <w:highlight w:val="none"/>
          <w:lang w:val="en-US" w:eastAsia="zh-CN"/>
        </w:rPr>
        <w:t>新增</w:t>
      </w:r>
      <w:r>
        <w:rPr>
          <w:rFonts w:hint="eastAsia" w:ascii="楷体_GB2312" w:eastAsia="楷体_GB2312"/>
          <w:highlight w:val="none"/>
        </w:rPr>
        <w:t>如下两栏：</w:t>
      </w:r>
    </w:p>
    <w:p>
      <w:pPr>
        <w:keepNext w:val="0"/>
        <w:keepLines w:val="0"/>
        <w:pageBreakBefore w:val="0"/>
        <w:widowControl w:val="0"/>
        <w:tabs>
          <w:tab w:val="left" w:pos="540"/>
        </w:tabs>
        <w:kinsoku/>
        <w:wordWrap/>
        <w:overflowPunct/>
        <w:topLinePunct w:val="0"/>
        <w:autoSpaceDE/>
        <w:autoSpaceDN/>
        <w:bidi w:val="0"/>
        <w:adjustRightInd/>
        <w:snapToGrid w:val="0"/>
        <w:spacing w:after="156" w:afterLines="50"/>
        <w:ind w:firstLine="360" w:firstLineChars="200"/>
        <w:jc w:val="left"/>
        <w:textAlignment w:val="auto"/>
        <w:outlineLvl w:val="9"/>
        <w:rPr>
          <w:sz w:val="18"/>
          <w:szCs w:val="18"/>
          <w:highlight w:val="none"/>
        </w:rPr>
      </w:pPr>
      <w:r>
        <w:rPr>
          <w:rFonts w:hint="eastAsia"/>
          <w:sz w:val="18"/>
          <w:szCs w:val="18"/>
          <w:highlight w:val="none"/>
        </w:rPr>
        <w:t>“</w:t>
      </w:r>
    </w:p>
    <w:tbl>
      <w:tblPr>
        <w:tblStyle w:val="52"/>
        <w:tblW w:w="8834" w:type="dxa"/>
        <w:tblInd w:w="5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2160"/>
        <w:gridCol w:w="2130"/>
        <w:gridCol w:w="213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spacing w:line="400" w:lineRule="exact"/>
              <w:jc w:val="center"/>
              <w:rPr>
                <w:rFonts w:hint="default" w:ascii="Times New Roman" w:hAnsi="Times New Roman" w:cs="Times New Roman" w:eastAsiaTheme="minorEastAsia"/>
                <w:color w:val="FF0000"/>
                <w:highlight w:val="none"/>
                <w:u w:val="single"/>
                <w:lang w:eastAsia="zh-CN"/>
              </w:rPr>
            </w:pPr>
            <w:r>
              <w:rPr>
                <w:rFonts w:hint="default" w:ascii="Times New Roman" w:hAnsi="Times New Roman" w:cs="Times New Roman"/>
                <w:color w:val="FF0000"/>
                <w:highlight w:val="none"/>
                <w:u w:val="single"/>
              </w:rPr>
              <w:t>1</w:t>
            </w:r>
            <w:r>
              <w:rPr>
                <w:rFonts w:hint="default" w:ascii="Times New Roman" w:hAnsi="Times New Roman" w:cs="Times New Roman"/>
                <w:color w:val="FF0000"/>
                <w:highlight w:val="none"/>
                <w:u w:val="single"/>
                <w:lang w:val="en-US" w:eastAsia="zh-CN"/>
              </w:rPr>
              <w:t>3</w:t>
            </w:r>
          </w:p>
        </w:tc>
        <w:tc>
          <w:tcPr>
            <w:tcW w:w="216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MSC.457（101）</w:t>
            </w:r>
          </w:p>
        </w:tc>
        <w:tc>
          <w:tcPr>
            <w:tcW w:w="213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2019年6月14日</w:t>
            </w:r>
          </w:p>
        </w:tc>
        <w:tc>
          <w:tcPr>
            <w:tcW w:w="213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2024年1月1日</w:t>
            </w:r>
          </w:p>
        </w:tc>
        <w:tc>
          <w:tcPr>
            <w:tcW w:w="174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正文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4" w:type="dxa"/>
            <w:vAlign w:val="center"/>
          </w:tcPr>
          <w:p>
            <w:pPr>
              <w:spacing w:line="400" w:lineRule="exact"/>
              <w:jc w:val="center"/>
              <w:rPr>
                <w:rFonts w:hint="default" w:ascii="Times New Roman" w:hAnsi="Times New Roman" w:cs="Times New Roman" w:eastAsiaTheme="minorEastAsia"/>
                <w:color w:val="FF0000"/>
                <w:highlight w:val="none"/>
                <w:u w:val="single"/>
                <w:lang w:eastAsia="zh-CN"/>
              </w:rPr>
            </w:pPr>
            <w:r>
              <w:rPr>
                <w:rFonts w:hint="default" w:ascii="Times New Roman" w:hAnsi="Times New Roman" w:cs="Times New Roman"/>
                <w:color w:val="FF0000"/>
                <w:highlight w:val="none"/>
                <w:u w:val="single"/>
              </w:rPr>
              <w:t>1</w:t>
            </w:r>
            <w:r>
              <w:rPr>
                <w:rFonts w:hint="default" w:ascii="Times New Roman" w:hAnsi="Times New Roman" w:cs="Times New Roman"/>
                <w:color w:val="FF0000"/>
                <w:highlight w:val="none"/>
                <w:u w:val="single"/>
                <w:lang w:val="en-US" w:eastAsia="zh-CN"/>
              </w:rPr>
              <w:t>4</w:t>
            </w:r>
          </w:p>
        </w:tc>
        <w:tc>
          <w:tcPr>
            <w:tcW w:w="216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MSC.4</w:t>
            </w:r>
            <w:r>
              <w:rPr>
                <w:rFonts w:hint="default" w:ascii="Times New Roman" w:hAnsi="Times New Roman" w:cs="Times New Roman"/>
                <w:color w:val="FF0000"/>
                <w:highlight w:val="none"/>
                <w:u w:val="single"/>
                <w:lang w:val="en-US" w:eastAsia="zh-CN"/>
              </w:rPr>
              <w:t>84</w:t>
            </w:r>
            <w:r>
              <w:rPr>
                <w:rFonts w:hint="default" w:ascii="Times New Roman" w:hAnsi="Times New Roman" w:cs="Times New Roman"/>
                <w:color w:val="FF0000"/>
                <w:highlight w:val="none"/>
                <w:u w:val="single"/>
              </w:rPr>
              <w:t>（10</w:t>
            </w:r>
            <w:r>
              <w:rPr>
                <w:rFonts w:hint="default" w:ascii="Times New Roman" w:hAnsi="Times New Roman" w:cs="Times New Roman"/>
                <w:color w:val="FF0000"/>
                <w:highlight w:val="none"/>
                <w:u w:val="single"/>
                <w:lang w:val="en-US" w:eastAsia="zh-CN"/>
              </w:rPr>
              <w:t>3</w:t>
            </w:r>
            <w:r>
              <w:rPr>
                <w:rFonts w:hint="default" w:ascii="Times New Roman" w:hAnsi="Times New Roman" w:cs="Times New Roman"/>
                <w:color w:val="FF0000"/>
                <w:highlight w:val="none"/>
                <w:u w:val="single"/>
              </w:rPr>
              <w:t>）</w:t>
            </w:r>
          </w:p>
        </w:tc>
        <w:tc>
          <w:tcPr>
            <w:tcW w:w="213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20</w:t>
            </w:r>
            <w:r>
              <w:rPr>
                <w:rFonts w:hint="default" w:ascii="Times New Roman" w:hAnsi="Times New Roman" w:cs="Times New Roman"/>
                <w:color w:val="FF0000"/>
                <w:highlight w:val="none"/>
                <w:u w:val="single"/>
                <w:lang w:val="en-US" w:eastAsia="zh-CN"/>
              </w:rPr>
              <w:t>21</w:t>
            </w:r>
            <w:r>
              <w:rPr>
                <w:rFonts w:hint="default" w:ascii="Times New Roman" w:hAnsi="Times New Roman" w:cs="Times New Roman"/>
                <w:color w:val="FF0000"/>
                <w:highlight w:val="none"/>
                <w:u w:val="single"/>
              </w:rPr>
              <w:t>年</w:t>
            </w:r>
            <w:r>
              <w:rPr>
                <w:rFonts w:hint="default" w:ascii="Times New Roman" w:hAnsi="Times New Roman" w:cs="Times New Roman"/>
                <w:color w:val="FF0000"/>
                <w:highlight w:val="none"/>
                <w:u w:val="single"/>
                <w:lang w:val="en-US" w:eastAsia="zh-CN"/>
              </w:rPr>
              <w:t>5</w:t>
            </w:r>
            <w:r>
              <w:rPr>
                <w:rFonts w:hint="default" w:ascii="Times New Roman" w:hAnsi="Times New Roman" w:cs="Times New Roman"/>
                <w:color w:val="FF0000"/>
                <w:highlight w:val="none"/>
                <w:u w:val="single"/>
              </w:rPr>
              <w:t>月1</w:t>
            </w:r>
            <w:r>
              <w:rPr>
                <w:rFonts w:hint="default" w:ascii="Times New Roman" w:hAnsi="Times New Roman" w:cs="Times New Roman"/>
                <w:color w:val="FF0000"/>
                <w:highlight w:val="none"/>
                <w:u w:val="single"/>
                <w:lang w:val="en-US" w:eastAsia="zh-CN"/>
              </w:rPr>
              <w:t>3</w:t>
            </w:r>
            <w:r>
              <w:rPr>
                <w:rFonts w:hint="default" w:ascii="Times New Roman" w:hAnsi="Times New Roman" w:cs="Times New Roman"/>
                <w:color w:val="FF0000"/>
                <w:highlight w:val="none"/>
                <w:u w:val="single"/>
              </w:rPr>
              <w:t>日</w:t>
            </w:r>
          </w:p>
        </w:tc>
        <w:tc>
          <w:tcPr>
            <w:tcW w:w="213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2024年1月1日</w:t>
            </w:r>
          </w:p>
        </w:tc>
        <w:tc>
          <w:tcPr>
            <w:tcW w:w="1740" w:type="dxa"/>
            <w:vAlign w:val="top"/>
          </w:tcPr>
          <w:p>
            <w:pPr>
              <w:spacing w:line="400" w:lineRule="exact"/>
              <w:jc w:val="center"/>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正文</w:t>
            </w:r>
          </w:p>
        </w:tc>
      </w:tr>
    </w:tbl>
    <w:p>
      <w:pPr>
        <w:keepNext w:val="0"/>
        <w:keepLines w:val="0"/>
        <w:pageBreakBefore w:val="0"/>
        <w:widowControl w:val="0"/>
        <w:tabs>
          <w:tab w:val="left" w:pos="540"/>
        </w:tabs>
        <w:kinsoku/>
        <w:wordWrap/>
        <w:overflowPunct/>
        <w:topLinePunct w:val="0"/>
        <w:autoSpaceDE/>
        <w:autoSpaceDN/>
        <w:bidi w:val="0"/>
        <w:adjustRightInd/>
        <w:snapToGrid w:val="0"/>
        <w:spacing w:after="156" w:afterLines="50"/>
        <w:ind w:firstLine="360" w:firstLineChars="200"/>
        <w:jc w:val="left"/>
        <w:textAlignment w:val="auto"/>
        <w:outlineLvl w:val="9"/>
        <w:rPr>
          <w:sz w:val="18"/>
          <w:szCs w:val="18"/>
          <w:highlight w:val="none"/>
        </w:rPr>
      </w:pPr>
      <w:r>
        <w:rPr>
          <w:rFonts w:hint="eastAsia"/>
          <w:sz w:val="18"/>
          <w:szCs w:val="18"/>
          <w:highlight w:val="none"/>
        </w:rPr>
        <w:t>”</w:t>
      </w:r>
    </w:p>
    <w:p>
      <w:pPr>
        <w:pStyle w:val="24"/>
        <w:spacing w:before="312" w:beforeLines="100" w:line="400" w:lineRule="exact"/>
        <w:ind w:firstLine="315" w:firstLineChars="150"/>
        <w:rPr>
          <w:rFonts w:hint="eastAsia" w:ascii="Times New Roman" w:hAnsi="Times New Roman" w:eastAsia="楷体_GB2312"/>
          <w:highlight w:val="none"/>
          <w:lang w:eastAsia="zh-CN"/>
        </w:rPr>
      </w:pPr>
      <w:r>
        <w:rPr>
          <w:rFonts w:hint="eastAsia" w:ascii="楷体_GB2312" w:eastAsia="楷体_GB2312"/>
          <w:highlight w:val="none"/>
          <w:lang w:eastAsia="zh-CN"/>
        </w:rPr>
        <w:t>原</w:t>
      </w:r>
      <w:r>
        <w:rPr>
          <w:rFonts w:hint="eastAsia" w:ascii="楷体_GB2312" w:eastAsia="楷体_GB2312"/>
          <w:highlight w:val="none"/>
          <w:lang w:val="en-US" w:eastAsia="zh-CN"/>
        </w:rPr>
        <w:t>3</w:t>
      </w:r>
      <w:r>
        <w:rPr>
          <w:rFonts w:hint="eastAsia" w:ascii="楷体_GB2312" w:eastAsia="楷体_GB2312"/>
          <w:highlight w:val="none"/>
        </w:rPr>
        <w:t>.</w:t>
      </w:r>
      <w:r>
        <w:rPr>
          <w:rFonts w:hint="eastAsia" w:ascii="楷体_GB2312" w:eastAsia="楷体_GB2312"/>
          <w:highlight w:val="none"/>
          <w:lang w:eastAsia="zh-CN"/>
        </w:rPr>
        <w:t>改为：</w:t>
      </w:r>
    </w:p>
    <w:p>
      <w:pPr>
        <w:pStyle w:val="24"/>
        <w:spacing w:before="312" w:beforeLines="100" w:line="400" w:lineRule="exact"/>
        <w:ind w:firstLine="315" w:firstLineChars="150"/>
        <w:rPr>
          <w:rFonts w:hint="eastAsia" w:hAnsi="宋体" w:eastAsia="宋体" w:cs="Times New Roman"/>
          <w:bCs/>
          <w:color w:val="FF0000"/>
          <w:highlight w:val="none"/>
          <w:u w:val="single"/>
          <w:lang w:eastAsia="zh-CN"/>
        </w:rPr>
      </w:pPr>
      <w:r>
        <w:rPr>
          <w:rFonts w:hint="eastAsia" w:ascii="Times New Roman" w:hAnsi="Times New Roman"/>
          <w:highlight w:val="none"/>
          <w:lang w:eastAsia="zh-CN"/>
        </w:rPr>
        <w:t>“</w:t>
      </w:r>
      <w:r>
        <w:rPr>
          <w:rFonts w:hint="eastAsia" w:ascii="Times New Roman" w:hAnsi="Times New Roman"/>
          <w:color w:val="auto"/>
          <w:highlight w:val="none"/>
          <w:u w:val="none"/>
        </w:rPr>
        <w:t>3．</w:t>
      </w:r>
      <w:r>
        <w:rPr>
          <w:rFonts w:hint="eastAsia" w:hAnsi="宋体"/>
          <w:bCs/>
          <w:color w:val="auto"/>
          <w:highlight w:val="none"/>
          <w:u w:val="none"/>
        </w:rPr>
        <w:t>本章附录2是第88届海上安全委员会于2010年12月3日以MSC.307(88)决议通过的《国际耐火试验程序应用规则（2010FTP规则）》，其生效日期为2012年7月1日</w:t>
      </w:r>
      <w:r>
        <w:rPr>
          <w:rFonts w:hint="eastAsia" w:hAnsi="宋体"/>
          <w:bCs/>
          <w:color w:val="FF0000"/>
          <w:highlight w:val="none"/>
          <w:u w:val="single"/>
          <w:lang w:val="en-US" w:eastAsia="zh-CN"/>
        </w:rPr>
        <w:t>,</w:t>
      </w:r>
      <w:r>
        <w:rPr>
          <w:rFonts w:hint="eastAsia" w:hAnsi="宋体" w:eastAsia="宋体" w:cs="Times New Roman"/>
          <w:color w:val="FF0000"/>
          <w:highlight w:val="none"/>
          <w:u w:val="single"/>
        </w:rPr>
        <w:t>并</w:t>
      </w:r>
      <w:r>
        <w:rPr>
          <w:rFonts w:hint="eastAsia" w:hAnsi="Courier New" w:eastAsia="宋体" w:cs="Times New Roman"/>
          <w:color w:val="FF0000"/>
          <w:highlight w:val="none"/>
          <w:u w:val="single"/>
        </w:rPr>
        <w:t>已包括以下决议通过的修正案：</w:t>
      </w:r>
    </w:p>
    <w:tbl>
      <w:tblPr>
        <w:tblStyle w:val="52"/>
        <w:tblW w:w="8834" w:type="dxa"/>
        <w:tblInd w:w="5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2160"/>
        <w:gridCol w:w="2130"/>
        <w:gridCol w:w="213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序号</w:t>
            </w:r>
          </w:p>
        </w:tc>
        <w:tc>
          <w:tcPr>
            <w:tcW w:w="2160"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决  议</w:t>
            </w:r>
          </w:p>
        </w:tc>
        <w:tc>
          <w:tcPr>
            <w:tcW w:w="2130"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通过日期</w:t>
            </w:r>
          </w:p>
        </w:tc>
        <w:tc>
          <w:tcPr>
            <w:tcW w:w="2130"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生效日期</w:t>
            </w:r>
          </w:p>
        </w:tc>
        <w:tc>
          <w:tcPr>
            <w:tcW w:w="1740" w:type="dxa"/>
            <w:noWrap w:val="0"/>
            <w:vAlign w:val="center"/>
          </w:tcPr>
          <w:p>
            <w:pPr>
              <w:spacing w:line="32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4"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1</w:t>
            </w:r>
          </w:p>
        </w:tc>
        <w:tc>
          <w:tcPr>
            <w:tcW w:w="2160"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MSC.437（99）</w:t>
            </w:r>
          </w:p>
        </w:tc>
        <w:tc>
          <w:tcPr>
            <w:tcW w:w="2130"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2018年5月24日</w:t>
            </w:r>
          </w:p>
        </w:tc>
        <w:tc>
          <w:tcPr>
            <w:tcW w:w="2130" w:type="dxa"/>
            <w:noWrap w:val="0"/>
            <w:vAlign w:val="center"/>
          </w:tcPr>
          <w:p>
            <w:pPr>
              <w:spacing w:line="40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2020年1月1日</w:t>
            </w:r>
          </w:p>
        </w:tc>
        <w:tc>
          <w:tcPr>
            <w:tcW w:w="1740" w:type="dxa"/>
            <w:noWrap w:val="0"/>
            <w:vAlign w:val="center"/>
          </w:tcPr>
          <w:p>
            <w:pPr>
              <w:spacing w:line="320" w:lineRule="exact"/>
              <w:jc w:val="center"/>
              <w:rPr>
                <w:rFonts w:hint="default" w:ascii="Times New Roman" w:hAnsi="Times New Roman" w:eastAsia="宋体" w:cs="Times New Roman"/>
                <w:color w:val="FF0000"/>
                <w:szCs w:val="20"/>
                <w:highlight w:val="none"/>
                <w:u w:val="single"/>
              </w:rPr>
            </w:pPr>
            <w:r>
              <w:rPr>
                <w:rFonts w:hint="default" w:ascii="Times New Roman" w:hAnsi="Times New Roman" w:eastAsia="宋体" w:cs="Times New Roman"/>
                <w:color w:val="FF0000"/>
                <w:szCs w:val="20"/>
                <w:highlight w:val="none"/>
                <w:u w:val="single"/>
              </w:rPr>
              <w:t>正文</w:t>
            </w:r>
          </w:p>
        </w:tc>
      </w:tr>
    </w:tbl>
    <w:p>
      <w:pPr>
        <w:tabs>
          <w:tab w:val="left" w:pos="540"/>
        </w:tabs>
        <w:snapToGrid w:val="0"/>
        <w:spacing w:after="156" w:afterLines="50"/>
        <w:jc w:val="left"/>
        <w:rPr>
          <w:rFonts w:hint="eastAsia" w:ascii="楷体_GB2312" w:eastAsia="楷体_GB2312"/>
          <w:highlight w:val="none"/>
          <w:lang w:eastAsia="zh-CN"/>
        </w:rPr>
      </w:pPr>
      <w:r>
        <w:rPr>
          <w:rFonts w:hint="eastAsia" w:ascii="楷体_GB2312" w:eastAsia="楷体_GB2312"/>
          <w:highlight w:val="none"/>
          <w:lang w:eastAsia="zh-CN"/>
        </w:rPr>
        <w:t>”</w:t>
      </w:r>
    </w:p>
    <w:p>
      <w:pPr>
        <w:adjustRightInd w:val="0"/>
        <w:snapToGrid w:val="0"/>
        <w:spacing w:after="156" w:afterLines="50"/>
        <w:rPr>
          <w:rFonts w:eastAsia="楷体_GB2312"/>
          <w:sz w:val="24"/>
          <w:szCs w:val="24"/>
          <w:highlight w:val="none"/>
        </w:rPr>
      </w:pPr>
    </w:p>
    <w:p>
      <w:pPr>
        <w:pStyle w:val="3"/>
        <w:keepNext w:val="0"/>
        <w:keepLines w:val="0"/>
        <w:pageBreakBefore w:val="0"/>
        <w:widowControl/>
        <w:kinsoku/>
        <w:wordWrap/>
        <w:overflowPunct/>
        <w:topLinePunct w:val="0"/>
        <w:autoSpaceDE/>
        <w:autoSpaceDN/>
        <w:bidi w:val="0"/>
        <w:adjustRightInd/>
        <w:snapToGrid/>
        <w:ind w:left="0"/>
        <w:jc w:val="center"/>
        <w:textAlignment w:val="auto"/>
        <w:outlineLvl w:val="1"/>
        <w:rPr>
          <w:rFonts w:cstheme="minorBidi"/>
          <w:kern w:val="2"/>
          <w:sz w:val="32"/>
          <w:highlight w:val="none"/>
        </w:rPr>
      </w:pPr>
      <w:r>
        <w:rPr>
          <w:rFonts w:ascii="Times New Roman" w:hAnsi="Times New Roman" w:cstheme="minorBidi"/>
          <w:bCs w:val="0"/>
          <w:caps w:val="0"/>
          <w:kern w:val="0"/>
          <w:sz w:val="21"/>
          <w:szCs w:val="21"/>
          <w:highlight w:val="none"/>
          <w:lang w:val="en-US"/>
        </w:rPr>
        <w:br w:type="page"/>
      </w:r>
      <w:bookmarkStart w:id="52" w:name="_Toc3145"/>
      <w:r>
        <w:rPr>
          <w:rFonts w:hint="eastAsia" w:cstheme="minorBidi"/>
          <w:bCs w:val="0"/>
          <w:caps w:val="0"/>
          <w:kern w:val="2"/>
          <w:sz w:val="32"/>
          <w:highlight w:val="none"/>
          <w:lang w:val="en-US"/>
        </w:rPr>
        <w:t>附录</w:t>
      </w:r>
      <w:r>
        <w:rPr>
          <w:rFonts w:cstheme="minorBidi"/>
          <w:bCs w:val="0"/>
          <w:caps w:val="0"/>
          <w:kern w:val="2"/>
          <w:sz w:val="32"/>
          <w:highlight w:val="none"/>
          <w:lang w:val="en-US"/>
        </w:rPr>
        <w:t>1</w:t>
      </w:r>
      <w:r>
        <w:rPr>
          <w:rFonts w:hint="eastAsia" w:cstheme="minorBidi"/>
          <w:bCs w:val="0"/>
          <w:caps w:val="0"/>
          <w:kern w:val="2"/>
          <w:sz w:val="32"/>
          <w:highlight w:val="none"/>
          <w:lang w:val="en-US" w:eastAsia="zh-CN"/>
        </w:rPr>
        <w:t xml:space="preserve">  </w:t>
      </w:r>
      <w:r>
        <w:rPr>
          <w:rFonts w:hint="eastAsia" w:cstheme="minorBidi"/>
          <w:bCs w:val="0"/>
          <w:caps w:val="0"/>
          <w:kern w:val="2"/>
          <w:sz w:val="32"/>
          <w:highlight w:val="none"/>
          <w:lang w:val="en-US"/>
        </w:rPr>
        <w:t>国际消防安全系统规则</w:t>
      </w:r>
      <w:bookmarkEnd w:id="52"/>
    </w:p>
    <w:p>
      <w:pPr>
        <w:autoSpaceDE w:val="0"/>
        <w:autoSpaceDN w:val="0"/>
        <w:adjustRightInd w:val="0"/>
        <w:spacing w:after="156" w:afterLines="50"/>
        <w:jc w:val="center"/>
        <w:rPr>
          <w:rFonts w:cs="Courier New" w:asciiTheme="minorEastAsia" w:hAnsiTheme="minorEastAsia"/>
          <w:b/>
          <w:kern w:val="0"/>
          <w:sz w:val="28"/>
          <w:szCs w:val="28"/>
          <w:highlight w:val="none"/>
          <w:lang w:val="en-GB" w:eastAsia="ja-JP"/>
        </w:rPr>
      </w:pPr>
      <w:r>
        <w:rPr>
          <w:rFonts w:hint="eastAsia" w:cs="Courier New" w:asciiTheme="minorEastAsia" w:hAnsiTheme="minorEastAsia"/>
          <w:b/>
          <w:kern w:val="0"/>
          <w:sz w:val="28"/>
          <w:szCs w:val="28"/>
          <w:highlight w:val="none"/>
          <w:lang w:val="en-GB" w:eastAsia="ja-JP"/>
        </w:rPr>
        <w:t>（FSS规则）</w:t>
      </w: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kern w:val="0"/>
          <w:sz w:val="28"/>
          <w:szCs w:val="28"/>
          <w:highlight w:val="none"/>
        </w:rPr>
      </w:pPr>
      <w:bookmarkStart w:id="53" w:name="_Toc16436"/>
      <w:r>
        <w:rPr>
          <w:rFonts w:hint="eastAsia" w:cstheme="minorBidi"/>
          <w:bCs w:val="0"/>
          <w:caps w:val="0"/>
          <w:kern w:val="0"/>
          <w:sz w:val="28"/>
          <w:szCs w:val="28"/>
          <w:highlight w:val="none"/>
          <w:lang w:val="en-US"/>
        </w:rPr>
        <w:t>第</w:t>
      </w:r>
      <w:r>
        <w:rPr>
          <w:rFonts w:hint="eastAsia" w:cstheme="minorBidi"/>
          <w:bCs w:val="0"/>
          <w:caps w:val="0"/>
          <w:kern w:val="0"/>
          <w:sz w:val="28"/>
          <w:szCs w:val="28"/>
          <w:highlight w:val="none"/>
          <w:lang w:val="en-US" w:eastAsia="zh-CN"/>
        </w:rPr>
        <w:t>9</w:t>
      </w:r>
      <w:r>
        <w:rPr>
          <w:rFonts w:hint="eastAsia" w:cstheme="minorBidi"/>
          <w:bCs w:val="0"/>
          <w:caps w:val="0"/>
          <w:kern w:val="0"/>
          <w:sz w:val="28"/>
          <w:szCs w:val="28"/>
          <w:highlight w:val="none"/>
          <w:lang w:val="en-US"/>
        </w:rPr>
        <w:t>章</w:t>
      </w:r>
      <w:r>
        <w:rPr>
          <w:rFonts w:cstheme="minorBidi"/>
          <w:bCs w:val="0"/>
          <w:caps w:val="0"/>
          <w:kern w:val="0"/>
          <w:sz w:val="28"/>
          <w:szCs w:val="28"/>
          <w:highlight w:val="none"/>
          <w:lang w:val="en-US"/>
        </w:rPr>
        <w:t xml:space="preserve">  </w:t>
      </w:r>
      <w:r>
        <w:rPr>
          <w:rFonts w:hint="eastAsia" w:cstheme="minorBidi"/>
          <w:bCs w:val="0"/>
          <w:caps w:val="0"/>
          <w:kern w:val="0"/>
          <w:sz w:val="28"/>
          <w:szCs w:val="28"/>
          <w:highlight w:val="none"/>
          <w:lang w:val="en-US" w:eastAsia="zh-CN"/>
        </w:rPr>
        <w:t>固定式探火和失火报警</w:t>
      </w:r>
      <w:r>
        <w:rPr>
          <w:rFonts w:hint="eastAsia" w:cstheme="minorBidi"/>
          <w:bCs w:val="0"/>
          <w:caps w:val="0"/>
          <w:kern w:val="0"/>
          <w:sz w:val="28"/>
          <w:szCs w:val="28"/>
          <w:highlight w:val="none"/>
          <w:lang w:val="en-US"/>
        </w:rPr>
        <w:t>系统</w:t>
      </w:r>
      <w:bookmarkEnd w:id="53"/>
    </w:p>
    <w:p>
      <w:pPr>
        <w:autoSpaceDE w:val="0"/>
        <w:autoSpaceDN w:val="0"/>
        <w:adjustRightInd w:val="0"/>
        <w:rPr>
          <w:rFonts w:eastAsia="楷体_GB2312"/>
          <w:highlight w:val="none"/>
        </w:rPr>
      </w:pPr>
    </w:p>
    <w:p>
      <w:pPr>
        <w:autoSpaceDE w:val="0"/>
        <w:autoSpaceDN w:val="0"/>
        <w:adjustRightInd w:val="0"/>
        <w:ind w:firstLine="422" w:firstLineChars="200"/>
        <w:rPr>
          <w:rFonts w:hint="eastAsia" w:ascii="Times New Roman" w:hAnsi="Times New Roman" w:cs="#cb#ce#cc#e5"/>
          <w:b/>
          <w:kern w:val="0"/>
          <w:highlight w:val="none"/>
        </w:rPr>
      </w:pPr>
      <w:r>
        <w:rPr>
          <w:rFonts w:hint="eastAsia" w:ascii="Times New Roman" w:hAnsi="Times New Roman" w:cs="#cb#ce#cc#e5"/>
          <w:b/>
          <w:kern w:val="0"/>
          <w:highlight w:val="none"/>
        </w:rPr>
        <w:t>2 技术要求</w:t>
      </w:r>
    </w:p>
    <w:p>
      <w:pPr>
        <w:pStyle w:val="71"/>
        <w:adjustRightInd/>
        <w:ind w:left="420" w:leftChars="200"/>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2.1 一般要求</w:t>
      </w:r>
    </w:p>
    <w:p>
      <w:pPr>
        <w:autoSpaceDE w:val="0"/>
        <w:autoSpaceDN w:val="0"/>
        <w:adjustRightInd w:val="0"/>
        <w:ind w:firstLine="420" w:firstLineChars="200"/>
        <w:rPr>
          <w:rFonts w:hint="eastAsia" w:eastAsia="楷体_GB2312"/>
          <w:highlight w:val="none"/>
        </w:rPr>
      </w:pPr>
      <w:r>
        <w:rPr>
          <w:rFonts w:hint="eastAsia" w:ascii="楷体" w:hAnsi="楷体" w:eastAsia="楷体"/>
          <w:color w:val="auto"/>
          <w:highlight w:val="none"/>
          <w:u w:val="none"/>
        </w:rPr>
        <w:t>自2024年1月1日起，</w:t>
      </w:r>
      <w:r>
        <w:rPr>
          <w:rFonts w:hint="eastAsia" w:eastAsia="楷体_GB2312"/>
          <w:highlight w:val="none"/>
          <w:lang w:eastAsia="zh-CN"/>
        </w:rPr>
        <w:t>原</w:t>
      </w:r>
      <w:r>
        <w:rPr>
          <w:rFonts w:hint="eastAsia" w:eastAsia="楷体_GB2312"/>
          <w:highlight w:val="none"/>
        </w:rPr>
        <w:t>2.1.7之后新增2.1.8如下：</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w:t>
      </w:r>
      <w:r>
        <w:rPr>
          <w:rFonts w:hint="eastAsia" w:ascii="Times New Roman" w:hAnsi="Times New Roman"/>
          <w:color w:val="FF0000"/>
          <w:highlight w:val="none"/>
          <w:u w:val="single"/>
        </w:rPr>
        <w:t>2.1.8  对于安装了逐一识别系统的货船和客船客舱阳台，尽管有2.1.6.1规定，如系统的布置可以确保因故障导致失效的逐一识别火灾探测器的数量和位置不大于根据2.4.1所布置的分区识别系统中的一个等效分区，则无需为每一个火灾探测器都安装故障隔离器。</w:t>
      </w:r>
      <w:r>
        <w:rPr>
          <w:rFonts w:hint="eastAsia" w:ascii="Times New Roman" w:hAnsi="Times New Roman"/>
          <w:highlight w:val="none"/>
        </w:rPr>
        <w:t>”</w:t>
      </w: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kern w:val="0"/>
          <w:sz w:val="28"/>
          <w:szCs w:val="28"/>
          <w:highlight w:val="none"/>
        </w:rPr>
      </w:pPr>
      <w:bookmarkStart w:id="54" w:name="_Toc20993"/>
      <w:r>
        <w:rPr>
          <w:rFonts w:hint="eastAsia" w:cstheme="minorBidi"/>
          <w:bCs w:val="0"/>
          <w:caps w:val="0"/>
          <w:kern w:val="0"/>
          <w:sz w:val="28"/>
          <w:szCs w:val="28"/>
          <w:highlight w:val="none"/>
          <w:lang w:val="en-US"/>
        </w:rPr>
        <w:t>第</w:t>
      </w:r>
      <w:r>
        <w:rPr>
          <w:rFonts w:cstheme="minorBidi"/>
          <w:bCs w:val="0"/>
          <w:caps w:val="0"/>
          <w:kern w:val="0"/>
          <w:sz w:val="28"/>
          <w:szCs w:val="28"/>
          <w:highlight w:val="none"/>
          <w:lang w:val="en-US"/>
        </w:rPr>
        <w:t>1</w:t>
      </w:r>
      <w:r>
        <w:rPr>
          <w:rFonts w:hint="eastAsia" w:cstheme="minorBidi"/>
          <w:bCs w:val="0"/>
          <w:caps w:val="0"/>
          <w:kern w:val="0"/>
          <w:sz w:val="28"/>
          <w:szCs w:val="28"/>
          <w:highlight w:val="none"/>
          <w:lang w:val="en-US" w:eastAsia="zh-CN"/>
        </w:rPr>
        <w:t>5</w:t>
      </w:r>
      <w:r>
        <w:rPr>
          <w:rFonts w:hint="eastAsia" w:cstheme="minorBidi"/>
          <w:bCs w:val="0"/>
          <w:caps w:val="0"/>
          <w:kern w:val="0"/>
          <w:sz w:val="28"/>
          <w:szCs w:val="28"/>
          <w:highlight w:val="none"/>
          <w:lang w:val="en-US"/>
        </w:rPr>
        <w:t>章</w:t>
      </w:r>
      <w:r>
        <w:rPr>
          <w:rFonts w:cstheme="minorBidi"/>
          <w:bCs w:val="0"/>
          <w:caps w:val="0"/>
          <w:kern w:val="0"/>
          <w:sz w:val="28"/>
          <w:szCs w:val="28"/>
          <w:highlight w:val="none"/>
          <w:lang w:val="en-US"/>
        </w:rPr>
        <w:t xml:space="preserve">  </w:t>
      </w:r>
      <w:r>
        <w:rPr>
          <w:rFonts w:hint="eastAsia" w:cstheme="minorBidi"/>
          <w:bCs w:val="0"/>
          <w:caps w:val="0"/>
          <w:kern w:val="0"/>
          <w:sz w:val="28"/>
          <w:szCs w:val="28"/>
          <w:highlight w:val="none"/>
          <w:lang w:val="en-US"/>
        </w:rPr>
        <w:t>脱险通道布置</w:t>
      </w:r>
      <w:bookmarkEnd w:id="54"/>
    </w:p>
    <w:p>
      <w:pPr>
        <w:autoSpaceDE w:val="0"/>
        <w:autoSpaceDN w:val="0"/>
        <w:adjustRightInd w:val="0"/>
        <w:rPr>
          <w:rFonts w:eastAsia="楷体_GB2312"/>
          <w:highlight w:val="none"/>
        </w:rPr>
      </w:pPr>
    </w:p>
    <w:p>
      <w:pPr>
        <w:autoSpaceDE w:val="0"/>
        <w:autoSpaceDN w:val="0"/>
        <w:adjustRightInd w:val="0"/>
        <w:ind w:firstLine="422" w:firstLineChars="200"/>
        <w:rPr>
          <w:rFonts w:hint="eastAsia" w:ascii="Times New Roman" w:hAnsi="Times New Roman" w:cs="#cb#ce#cc#e5"/>
          <w:b/>
          <w:kern w:val="0"/>
          <w:highlight w:val="none"/>
        </w:rPr>
      </w:pPr>
      <w:r>
        <w:rPr>
          <w:rFonts w:hint="eastAsia" w:ascii="Times New Roman" w:hAnsi="Times New Roman" w:cs="#cb#ce#cc#e5"/>
          <w:b/>
          <w:kern w:val="0"/>
          <w:highlight w:val="none"/>
        </w:rPr>
        <w:t>2 技术要求</w:t>
      </w:r>
    </w:p>
    <w:p>
      <w:pPr>
        <w:pStyle w:val="71"/>
        <w:adjustRightInd/>
        <w:ind w:left="420" w:leftChars="200"/>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2.2 对所有系统的要求</w:t>
      </w:r>
    </w:p>
    <w:p>
      <w:pPr>
        <w:pStyle w:val="71"/>
        <w:adjustRightInd/>
        <w:ind w:left="420" w:leftChars="200"/>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2.2.3.2 惰性气体管系</w:t>
      </w:r>
    </w:p>
    <w:p>
      <w:pPr>
        <w:autoSpaceDE w:val="0"/>
        <w:autoSpaceDN w:val="0"/>
        <w:adjustRightInd w:val="0"/>
        <w:ind w:firstLine="420" w:firstLineChars="200"/>
        <w:rPr>
          <w:rFonts w:hint="eastAsia" w:eastAsia="楷体_GB2312"/>
          <w:highlight w:val="none"/>
        </w:rPr>
      </w:pPr>
      <w:r>
        <w:rPr>
          <w:rFonts w:hint="eastAsia" w:ascii="楷体" w:hAnsi="楷体" w:eastAsia="楷体"/>
          <w:color w:val="auto"/>
          <w:highlight w:val="none"/>
          <w:u w:val="none"/>
        </w:rPr>
        <w:t>自2024年1月1日起，</w:t>
      </w:r>
      <w:r>
        <w:rPr>
          <w:rFonts w:hint="eastAsia" w:eastAsia="楷体_GB2312"/>
          <w:highlight w:val="none"/>
          <w:lang w:eastAsia="zh-CN"/>
        </w:rPr>
        <w:t>原</w:t>
      </w:r>
      <w:r>
        <w:rPr>
          <w:rFonts w:hint="eastAsia" w:eastAsia="楷体_GB2312"/>
          <w:highlight w:val="none"/>
        </w:rPr>
        <w:t xml:space="preserve">2.2.3.2.1 </w:t>
      </w:r>
      <w:r>
        <w:rPr>
          <w:rFonts w:hint="eastAsia" w:eastAsia="楷体_GB2312"/>
          <w:highlight w:val="none"/>
          <w:lang w:eastAsia="zh-CN"/>
        </w:rPr>
        <w:t>修改为</w:t>
      </w:r>
      <w:r>
        <w:rPr>
          <w:rFonts w:hint="eastAsia" w:eastAsia="楷体_GB2312"/>
          <w:highlight w:val="none"/>
        </w:rPr>
        <w:t>：</w:t>
      </w:r>
    </w:p>
    <w:p>
      <w:pPr>
        <w:ind w:firstLine="420" w:firstLineChars="200"/>
        <w:rPr>
          <w:rFonts w:hint="eastAsia" w:ascii="Times New Roman" w:hAnsi="Times New Roman"/>
          <w:highlight w:val="none"/>
        </w:rPr>
      </w:pPr>
      <w:r>
        <w:rPr>
          <w:rFonts w:hint="eastAsia" w:ascii="Times New Roman" w:hAnsi="Times New Roman"/>
          <w:highlight w:val="none"/>
        </w:rPr>
        <w:t>“2.2.3.2.1　在2.2.3.1条所要</w:t>
      </w:r>
      <w:r>
        <w:rPr>
          <w:rFonts w:hint="eastAsia"/>
          <w:szCs w:val="22"/>
          <w:highlight w:val="none"/>
        </w:rPr>
        <w:t>求的止回装置的</w:t>
      </w:r>
      <w:r>
        <w:rPr>
          <w:rFonts w:hint="eastAsia"/>
          <w:strike/>
          <w:dstrike w:val="0"/>
          <w:color w:val="FF0000"/>
          <w:szCs w:val="22"/>
          <w:highlight w:val="none"/>
          <w:lang w:eastAsia="zh-CN"/>
        </w:rPr>
        <w:t>前方</w:t>
      </w:r>
      <w:r>
        <w:rPr>
          <w:rFonts w:hint="eastAsia"/>
          <w:color w:val="FF0000"/>
          <w:szCs w:val="22"/>
          <w:highlight w:val="none"/>
          <w:u w:val="single"/>
        </w:rPr>
        <w:t>下游</w:t>
      </w:r>
      <w:r>
        <w:rPr>
          <w:rFonts w:hint="eastAsia"/>
          <w:szCs w:val="22"/>
          <w:highlight w:val="none"/>
        </w:rPr>
        <w:t>，惰性气体总管可分成两个或两个以上支管。</w:t>
      </w:r>
      <w:r>
        <w:rPr>
          <w:rFonts w:hint="eastAsia" w:ascii="Times New Roman" w:hAnsi="Times New Roman"/>
          <w:highlight w:val="none"/>
        </w:rPr>
        <w:t>”</w:t>
      </w:r>
    </w:p>
    <w:p>
      <w:pPr>
        <w:autoSpaceDE w:val="0"/>
        <w:autoSpaceDN w:val="0"/>
        <w:adjustRightInd w:val="0"/>
        <w:ind w:firstLine="420" w:firstLineChars="200"/>
        <w:rPr>
          <w:rFonts w:hint="eastAsia" w:ascii="Times New Roman" w:hAnsi="Times New Roman"/>
          <w:highlight w:val="none"/>
        </w:rPr>
      </w:pPr>
    </w:p>
    <w:p>
      <w:pPr>
        <w:autoSpaceDE w:val="0"/>
        <w:autoSpaceDN w:val="0"/>
        <w:adjustRightInd w:val="0"/>
        <w:ind w:firstLine="420" w:firstLineChars="200"/>
        <w:rPr>
          <w:rFonts w:hint="eastAsia" w:eastAsia="楷体_GB2312"/>
          <w:highlight w:val="none"/>
        </w:rPr>
      </w:pPr>
      <w:r>
        <w:rPr>
          <w:rFonts w:hint="eastAsia" w:ascii="楷体" w:hAnsi="楷体" w:eastAsia="楷体"/>
          <w:color w:val="auto"/>
          <w:highlight w:val="none"/>
          <w:u w:val="none"/>
        </w:rPr>
        <w:t>自2024年1月1日起，</w:t>
      </w:r>
      <w:r>
        <w:rPr>
          <w:rFonts w:hint="eastAsia" w:eastAsia="楷体_GB2312"/>
          <w:highlight w:val="none"/>
          <w:lang w:eastAsia="zh-CN"/>
        </w:rPr>
        <w:t>原</w:t>
      </w:r>
      <w:r>
        <w:rPr>
          <w:rFonts w:hint="eastAsia" w:eastAsia="楷体_GB2312"/>
          <w:highlight w:val="none"/>
        </w:rPr>
        <w:t xml:space="preserve">2.2.3.2.6 </w:t>
      </w:r>
      <w:r>
        <w:rPr>
          <w:rFonts w:hint="eastAsia" w:eastAsia="楷体_GB2312"/>
          <w:highlight w:val="none"/>
          <w:lang w:eastAsia="zh-CN"/>
        </w:rPr>
        <w:t>改为</w:t>
      </w:r>
      <w:r>
        <w:rPr>
          <w:rFonts w:hint="eastAsia" w:eastAsia="楷体_GB2312"/>
          <w:highlight w:val="none"/>
        </w:rPr>
        <w:t>：</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“2.2.3.2.6 应设有使惰性气体总管能与惰性气体外部供给相连接的装置。该装置应由一个容纳名义管径 250 mm 的螺栓法兰构成，通过一阀与惰性气体总管隔离，且位于止回阀的</w:t>
      </w:r>
      <w:r>
        <w:rPr>
          <w:rFonts w:hint="eastAsia"/>
          <w:strike/>
          <w:dstrike w:val="0"/>
          <w:color w:val="FF0000"/>
          <w:szCs w:val="22"/>
          <w:highlight w:val="none"/>
          <w:lang w:eastAsia="zh-CN"/>
        </w:rPr>
        <w:t>前方</w:t>
      </w:r>
      <w:r>
        <w:rPr>
          <w:rFonts w:hint="eastAsia"/>
          <w:color w:val="FF0000"/>
          <w:szCs w:val="22"/>
          <w:highlight w:val="none"/>
          <w:u w:val="single"/>
        </w:rPr>
        <w:t>下游</w:t>
      </w:r>
      <w:r>
        <w:rPr>
          <w:rFonts w:hint="eastAsia" w:ascii="Times New Roman" w:hAnsi="Times New Roman"/>
          <w:highlight w:val="none"/>
        </w:rPr>
        <w:t>。法兰的设计应符合为设计船舶货物管系的其他外部接头而采用的标准中的适当级别。”</w:t>
      </w:r>
    </w:p>
    <w:p>
      <w:pPr>
        <w:pStyle w:val="71"/>
        <w:adjustRightInd/>
        <w:ind w:left="420" w:leftChars="200"/>
        <w:rPr>
          <w:rFonts w:hint="eastAsia" w:ascii="Times New Roman" w:hAnsi="Times New Roman" w:cs="Times New Roman"/>
          <w:color w:val="auto"/>
          <w:sz w:val="21"/>
          <w:szCs w:val="21"/>
          <w:highlight w:val="none"/>
        </w:rPr>
      </w:pPr>
    </w:p>
    <w:p>
      <w:pPr>
        <w:pStyle w:val="71"/>
        <w:adjustRightInd/>
        <w:ind w:left="420" w:leftChars="200"/>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2.2.4 指示器和报警器</w:t>
      </w:r>
    </w:p>
    <w:p>
      <w:pPr>
        <w:autoSpaceDE w:val="0"/>
        <w:autoSpaceDN w:val="0"/>
        <w:adjustRightInd w:val="0"/>
        <w:ind w:firstLine="420" w:firstLineChars="200"/>
        <w:rPr>
          <w:rFonts w:hint="eastAsia" w:eastAsia="楷体_GB2312"/>
          <w:highlight w:val="none"/>
        </w:rPr>
      </w:pPr>
      <w:r>
        <w:rPr>
          <w:rFonts w:hint="eastAsia" w:ascii="楷体" w:hAnsi="楷体" w:eastAsia="楷体"/>
          <w:color w:val="auto"/>
          <w:highlight w:val="none"/>
          <w:u w:val="none"/>
        </w:rPr>
        <w:t>自2024年1月1日起，</w:t>
      </w:r>
      <w:r>
        <w:rPr>
          <w:rFonts w:hint="eastAsia" w:ascii="楷体" w:hAnsi="楷体" w:eastAsia="楷体"/>
          <w:color w:val="auto"/>
          <w:highlight w:val="none"/>
          <w:u w:val="none"/>
          <w:lang w:eastAsia="zh-CN"/>
        </w:rPr>
        <w:t>原</w:t>
      </w:r>
      <w:r>
        <w:rPr>
          <w:rFonts w:hint="eastAsia" w:eastAsia="楷体_GB2312"/>
          <w:highlight w:val="none"/>
        </w:rPr>
        <w:t xml:space="preserve">2.2.4.2 </w:t>
      </w:r>
      <w:r>
        <w:rPr>
          <w:rFonts w:hint="eastAsia" w:eastAsia="楷体_GB2312"/>
          <w:highlight w:val="none"/>
          <w:lang w:eastAsia="zh-CN"/>
        </w:rPr>
        <w:t>改为</w:t>
      </w:r>
      <w:r>
        <w:rPr>
          <w:rFonts w:hint="eastAsia" w:eastAsia="楷体_GB2312"/>
          <w:highlight w:val="none"/>
        </w:rPr>
        <w:t>：</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“2.2.4.2 当供送惰性气体时，应有仪表连续显示和固定地记录：</w:t>
      </w:r>
    </w:p>
    <w:p>
      <w:pPr>
        <w:autoSpaceDE w:val="0"/>
        <w:autoSpaceDN w:val="0"/>
        <w:adjustRightInd w:val="0"/>
        <w:ind w:firstLine="1260" w:firstLineChars="600"/>
        <w:rPr>
          <w:rFonts w:hint="eastAsia" w:ascii="Times New Roman" w:hAnsi="Times New Roman"/>
          <w:highlight w:val="none"/>
        </w:rPr>
      </w:pPr>
      <w:r>
        <w:rPr>
          <w:rFonts w:hint="eastAsia" w:ascii="Times New Roman" w:hAnsi="Times New Roman"/>
          <w:highlight w:val="none"/>
        </w:rPr>
        <w:t>.1 止回装置</w:t>
      </w:r>
      <w:r>
        <w:rPr>
          <w:rFonts w:hint="eastAsia"/>
          <w:strike/>
          <w:dstrike w:val="0"/>
          <w:color w:val="FF0000"/>
          <w:szCs w:val="22"/>
          <w:highlight w:val="none"/>
          <w:lang w:eastAsia="zh-CN"/>
        </w:rPr>
        <w:t>前方</w:t>
      </w:r>
      <w:r>
        <w:rPr>
          <w:rFonts w:hint="eastAsia"/>
          <w:color w:val="FF0000"/>
          <w:szCs w:val="22"/>
          <w:highlight w:val="none"/>
          <w:u w:val="single"/>
        </w:rPr>
        <w:t>下游</w:t>
      </w:r>
      <w:r>
        <w:rPr>
          <w:rFonts w:hint="eastAsia" w:ascii="Times New Roman" w:hAnsi="Times New Roman"/>
          <w:highlight w:val="none"/>
        </w:rPr>
        <w:t>惰性气体总管的压力；和</w:t>
      </w:r>
    </w:p>
    <w:p>
      <w:pPr>
        <w:autoSpaceDE w:val="0"/>
        <w:autoSpaceDN w:val="0"/>
        <w:adjustRightInd w:val="0"/>
        <w:ind w:firstLine="1260" w:firstLineChars="600"/>
        <w:rPr>
          <w:rFonts w:hint="eastAsia" w:ascii="Times New Roman" w:hAnsi="Times New Roman"/>
          <w:highlight w:val="none"/>
        </w:rPr>
      </w:pPr>
      <w:r>
        <w:rPr>
          <w:rFonts w:hint="eastAsia" w:ascii="Times New Roman" w:hAnsi="Times New Roman"/>
          <w:highlight w:val="none"/>
        </w:rPr>
        <w:t>.2 惰性气体的含氧量。”</w:t>
      </w:r>
    </w:p>
    <w:p>
      <w:pPr>
        <w:autoSpaceDE w:val="0"/>
        <w:autoSpaceDN w:val="0"/>
        <w:adjustRightInd w:val="0"/>
        <w:rPr>
          <w:rFonts w:eastAsia="楷体_GB2312"/>
          <w:highlight w:val="none"/>
        </w:rPr>
      </w:pPr>
    </w:p>
    <w:p>
      <w:pPr>
        <w:rPr>
          <w:rFonts w:eastAsia="楷体_GB2312"/>
          <w:highlight w:val="none"/>
        </w:rPr>
      </w:pPr>
      <w:r>
        <w:rPr>
          <w:rFonts w:eastAsia="楷体_GB2312"/>
          <w:highlight w:val="none"/>
        </w:rPr>
        <w:br w:type="page"/>
      </w:r>
    </w:p>
    <w:p>
      <w:pPr>
        <w:autoSpaceDE w:val="0"/>
        <w:autoSpaceDN w:val="0"/>
        <w:adjustRightInd w:val="0"/>
        <w:rPr>
          <w:rFonts w:eastAsia="楷体_GB2312"/>
          <w:highlight w:val="none"/>
        </w:rPr>
      </w:pPr>
    </w:p>
    <w:p>
      <w:pPr>
        <w:pStyle w:val="3"/>
        <w:keepNext w:val="0"/>
        <w:keepLines w:val="0"/>
        <w:pageBreakBefore w:val="0"/>
        <w:widowControl/>
        <w:kinsoku/>
        <w:wordWrap/>
        <w:overflowPunct/>
        <w:topLinePunct w:val="0"/>
        <w:autoSpaceDE/>
        <w:autoSpaceDN/>
        <w:bidi w:val="0"/>
        <w:adjustRightInd/>
        <w:snapToGrid/>
        <w:ind w:left="0"/>
        <w:jc w:val="center"/>
        <w:textAlignment w:val="auto"/>
        <w:outlineLvl w:val="1"/>
        <w:rPr>
          <w:rFonts w:hint="eastAsia" w:cstheme="minorBidi"/>
          <w:bCs w:val="0"/>
          <w:caps w:val="0"/>
          <w:kern w:val="2"/>
          <w:sz w:val="32"/>
          <w:highlight w:val="none"/>
          <w:lang w:val="en-US"/>
        </w:rPr>
      </w:pPr>
      <w:bookmarkStart w:id="55" w:name="_Toc29472"/>
      <w:r>
        <w:rPr>
          <w:rFonts w:hint="eastAsia" w:ascii="Times New Roman" w:hAnsi="Times New Roman" w:cstheme="minorBidi"/>
          <w:bCs w:val="0"/>
          <w:caps w:val="0"/>
          <w:kern w:val="0"/>
          <w:sz w:val="32"/>
          <w:szCs w:val="32"/>
          <w:highlight w:val="none"/>
          <w:lang w:val="en-US"/>
        </w:rPr>
        <w:t>附录2</w:t>
      </w:r>
      <w:r>
        <w:rPr>
          <w:rFonts w:hint="eastAsia" w:ascii="Times New Roman" w:hAnsi="Times New Roman" w:cstheme="minorBidi"/>
          <w:bCs w:val="0"/>
          <w:caps w:val="0"/>
          <w:kern w:val="0"/>
          <w:sz w:val="32"/>
          <w:szCs w:val="32"/>
          <w:highlight w:val="none"/>
          <w:lang w:val="en-US" w:eastAsia="zh-CN"/>
        </w:rPr>
        <w:t xml:space="preserve">  </w:t>
      </w:r>
      <w:r>
        <w:rPr>
          <w:rFonts w:hint="eastAsia" w:cstheme="minorBidi"/>
          <w:bCs w:val="0"/>
          <w:caps w:val="0"/>
          <w:kern w:val="2"/>
          <w:sz w:val="32"/>
          <w:highlight w:val="none"/>
          <w:lang w:val="en-US"/>
        </w:rPr>
        <w:t>国际耐火试验程序应用规则</w:t>
      </w:r>
      <w:bookmarkEnd w:id="55"/>
    </w:p>
    <w:p>
      <w:pPr>
        <w:pStyle w:val="24"/>
        <w:spacing w:after="156" w:afterLines="50"/>
        <w:ind w:firstLine="420"/>
        <w:jc w:val="center"/>
        <w:rPr>
          <w:rFonts w:hint="eastAsia" w:ascii="Times New Roman" w:hAnsi="Times New Roman"/>
          <w:b/>
          <w:sz w:val="24"/>
          <w:szCs w:val="24"/>
          <w:highlight w:val="none"/>
        </w:rPr>
      </w:pPr>
      <w:r>
        <w:rPr>
          <w:rFonts w:hint="eastAsia" w:ascii="Times New Roman" w:hAnsi="Times New Roman"/>
          <w:b/>
          <w:sz w:val="24"/>
          <w:szCs w:val="24"/>
          <w:highlight w:val="none"/>
        </w:rPr>
        <w:t>（2010FTP规则）</w:t>
      </w:r>
    </w:p>
    <w:p>
      <w:pPr>
        <w:spacing w:line="360" w:lineRule="auto"/>
        <w:ind w:firstLine="315" w:firstLineChars="150"/>
        <w:rPr>
          <w:rFonts w:hAnsi="宋体"/>
          <w:strike/>
          <w:highlight w:val="none"/>
        </w:rPr>
      </w:pPr>
    </w:p>
    <w:p>
      <w:pPr>
        <w:spacing w:line="360" w:lineRule="auto"/>
        <w:ind w:firstLine="316" w:firstLineChars="150"/>
        <w:jc w:val="center"/>
        <w:outlineLvl w:val="1"/>
        <w:rPr>
          <w:rFonts w:hint="eastAsia" w:hAnsi="宋体"/>
          <w:b/>
          <w:bCs/>
          <w:highlight w:val="none"/>
        </w:rPr>
      </w:pPr>
      <w:bookmarkStart w:id="56" w:name="_Toc11936"/>
      <w:r>
        <w:rPr>
          <w:rFonts w:hint="eastAsia" w:hAnsi="宋体"/>
          <w:b/>
          <w:bCs/>
          <w:highlight w:val="none"/>
        </w:rPr>
        <w:t>附件3　防火材料和所需认可试验方法</w:t>
      </w:r>
      <w:bookmarkEnd w:id="56"/>
    </w:p>
    <w:p>
      <w:pPr>
        <w:spacing w:line="360" w:lineRule="auto"/>
        <w:ind w:firstLine="315" w:firstLineChars="150"/>
        <w:rPr>
          <w:rFonts w:hint="eastAsia" w:hAnsi="宋体"/>
          <w:highlight w:val="none"/>
        </w:rPr>
      </w:pPr>
    </w:p>
    <w:p>
      <w:pPr>
        <w:spacing w:line="360" w:lineRule="auto"/>
        <w:ind w:firstLine="315" w:firstLineChars="150"/>
        <w:rPr>
          <w:rFonts w:hint="eastAsia" w:ascii="楷体" w:hAnsi="楷体" w:eastAsia="楷体"/>
          <w:color w:val="auto"/>
          <w:highlight w:val="none"/>
          <w:u w:val="none"/>
        </w:rPr>
      </w:pPr>
      <w:r>
        <w:rPr>
          <w:rFonts w:hint="eastAsia" w:ascii="楷体" w:hAnsi="楷体" w:eastAsia="楷体"/>
          <w:color w:val="auto"/>
          <w:highlight w:val="none"/>
          <w:u w:val="none"/>
          <w:lang w:val="en-US" w:eastAsia="zh-CN"/>
        </w:rPr>
        <w:t>原</w:t>
      </w:r>
      <w:r>
        <w:rPr>
          <w:rFonts w:hint="eastAsia" w:ascii="楷体" w:hAnsi="楷体" w:eastAsia="楷体"/>
          <w:color w:val="auto"/>
          <w:highlight w:val="none"/>
          <w:u w:val="none"/>
        </w:rPr>
        <w:t>表1标题</w:t>
      </w:r>
      <w:r>
        <w:rPr>
          <w:rFonts w:hint="eastAsia" w:ascii="楷体" w:hAnsi="楷体" w:eastAsia="楷体"/>
          <w:color w:val="auto"/>
          <w:highlight w:val="none"/>
          <w:u w:val="none"/>
          <w:lang w:eastAsia="zh-CN"/>
        </w:rPr>
        <w:t>改为</w:t>
      </w:r>
      <w:r>
        <w:rPr>
          <w:rFonts w:hint="eastAsia" w:ascii="楷体" w:hAnsi="楷体" w:eastAsia="楷体"/>
          <w:color w:val="auto"/>
          <w:highlight w:val="none"/>
          <w:u w:val="none"/>
        </w:rPr>
        <w:t>：</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“表1-</w:t>
      </w:r>
      <w:r>
        <w:rPr>
          <w:rFonts w:hint="eastAsia"/>
          <w:b/>
          <w:strike/>
          <w:dstrike w:val="0"/>
          <w:color w:val="FF0000"/>
          <w:kern w:val="0"/>
          <w:szCs w:val="21"/>
          <w:highlight w:val="none"/>
        </w:rPr>
        <w:t>载客超过36人</w:t>
      </w:r>
      <w:r>
        <w:rPr>
          <w:rFonts w:hint="eastAsia" w:ascii="Times New Roman" w:hAnsi="Times New Roman"/>
          <w:highlight w:val="none"/>
        </w:rPr>
        <w:t>客船和高速船防火材料及所需认可试验方法”</w:t>
      </w:r>
    </w:p>
    <w:p>
      <w:pPr>
        <w:spacing w:line="360" w:lineRule="auto"/>
        <w:ind w:firstLine="315" w:firstLineChars="150"/>
        <w:rPr>
          <w:rFonts w:hint="eastAsia" w:hAnsi="宋体"/>
          <w:highlight w:val="none"/>
        </w:rPr>
      </w:pPr>
    </w:p>
    <w:p>
      <w:pPr>
        <w:spacing w:line="360" w:lineRule="auto"/>
        <w:ind w:firstLine="315" w:firstLineChars="150"/>
        <w:rPr>
          <w:rFonts w:hint="eastAsia" w:ascii="楷体" w:hAnsi="楷体" w:eastAsia="楷体"/>
          <w:color w:val="auto"/>
          <w:highlight w:val="none"/>
          <w:u w:val="none"/>
        </w:rPr>
      </w:pPr>
      <w:r>
        <w:rPr>
          <w:rFonts w:hint="eastAsia" w:ascii="楷体" w:hAnsi="楷体" w:eastAsia="楷体"/>
          <w:color w:val="auto"/>
          <w:highlight w:val="none"/>
          <w:u w:val="none"/>
          <w:lang w:val="en-US" w:eastAsia="zh-CN"/>
        </w:rPr>
        <w:t>原</w:t>
      </w:r>
      <w:r>
        <w:rPr>
          <w:rFonts w:hint="eastAsia" w:ascii="楷体" w:hAnsi="楷体" w:eastAsia="楷体"/>
          <w:color w:val="auto"/>
          <w:highlight w:val="none"/>
          <w:u w:val="none"/>
        </w:rPr>
        <w:t>表1中的列“</w:t>
      </w:r>
      <w:r>
        <w:rPr>
          <w:rFonts w:hint="eastAsia" w:ascii="楷体" w:hAnsi="楷体" w:eastAsia="楷体"/>
          <w:color w:val="auto"/>
          <w:highlight w:val="none"/>
          <w:u w:val="none"/>
          <w:lang w:val="en-US" w:eastAsia="zh-CN"/>
        </w:rPr>
        <w:t>SOLAS第II-2章和HSC规则</w:t>
      </w:r>
      <w:r>
        <w:rPr>
          <w:rFonts w:hint="eastAsia" w:ascii="楷体" w:hAnsi="楷体" w:eastAsia="楷体"/>
          <w:color w:val="auto"/>
          <w:highlight w:val="none"/>
          <w:u w:val="none"/>
        </w:rPr>
        <w:t>适用规定”修正如下：</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.1　在“ “A”级舱壁”、“ “B”级舱壁”、“ “C”级舱壁”、“ “A”级甲板”、“ “B”级甲板”、“ “B”级衬板”和“ “B”级天花板”这几行中增加对“9.2.2.4”的引用；</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.2　在“ “B”级连续天花板”这一行中增加对“9.2.2.4.3”的引用；</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.3　在“局部舱壁”这一行，“5.3.1.2.1”由“5.3.1.3.1”替代；和</w:t>
      </w:r>
    </w:p>
    <w:p>
      <w:pPr>
        <w:autoSpaceDE w:val="0"/>
        <w:autoSpaceDN w:val="0"/>
        <w:adjustRightInd w:val="0"/>
        <w:ind w:firstLine="420" w:firstLineChars="200"/>
        <w:rPr>
          <w:rFonts w:hint="eastAsia" w:ascii="Times New Roman" w:hAnsi="Times New Roman"/>
          <w:highlight w:val="none"/>
        </w:rPr>
      </w:pPr>
      <w:r>
        <w:rPr>
          <w:rFonts w:hint="eastAsia" w:ascii="Times New Roman" w:hAnsi="Times New Roman"/>
          <w:highlight w:val="none"/>
        </w:rPr>
        <w:t>.4　在“防火门控制系统”这一行，“9.4.1.1.4.15”由“9.4.1.1.5.15”替代。</w:t>
      </w:r>
    </w:p>
    <w:p>
      <w:pPr>
        <w:widowControl/>
        <w:jc w:val="left"/>
        <w:rPr>
          <w:highlight w:val="none"/>
        </w:rPr>
      </w:pPr>
      <w:r>
        <w:rPr>
          <w:highlight w:val="none"/>
        </w:rPr>
        <w:br w:type="page"/>
      </w:r>
    </w:p>
    <w:p>
      <w:pPr>
        <w:pStyle w:val="2"/>
        <w:ind w:left="0"/>
        <w:jc w:val="center"/>
        <w:rPr>
          <w:sz w:val="32"/>
          <w:highlight w:val="none"/>
        </w:rPr>
      </w:pPr>
      <w:bookmarkStart w:id="57" w:name="_Toc30773"/>
      <w:r>
        <w:rPr>
          <w:rFonts w:hint="eastAsia" w:cstheme="minorBidi"/>
          <w:bCs w:val="0"/>
          <w:caps w:val="0"/>
          <w:kern w:val="2"/>
          <w:sz w:val="32"/>
          <w:highlight w:val="none"/>
          <w:lang w:val="en-US"/>
        </w:rPr>
        <w:t>第</w:t>
      </w:r>
      <w:r>
        <w:rPr>
          <w:rFonts w:cstheme="minorBidi"/>
          <w:bCs w:val="0"/>
          <w:caps w:val="0"/>
          <w:kern w:val="2"/>
          <w:sz w:val="32"/>
          <w:highlight w:val="none"/>
          <w:lang w:val="en-US"/>
        </w:rPr>
        <w:t>3</w:t>
      </w:r>
      <w:r>
        <w:rPr>
          <w:rFonts w:hint="eastAsia" w:cstheme="minorBidi"/>
          <w:bCs w:val="0"/>
          <w:caps w:val="0"/>
          <w:kern w:val="2"/>
          <w:sz w:val="32"/>
          <w:highlight w:val="none"/>
          <w:lang w:val="en-US"/>
        </w:rPr>
        <w:t>章　救生设备和装置</w:t>
      </w:r>
      <w:r>
        <w:rPr>
          <w:rFonts w:hint="eastAsia" w:ascii="楷体_GB2312" w:eastAsia="楷体_GB2312"/>
          <w:b w:val="0"/>
          <w:sz w:val="28"/>
          <w:szCs w:val="28"/>
          <w:highlight w:val="none"/>
        </w:rPr>
        <w:t>（SOLAS公约第</w:t>
      </w:r>
      <w:r>
        <w:rPr>
          <w:rFonts w:hint="eastAsia" w:ascii="楷体" w:hAnsi="楷体" w:eastAsia="楷体"/>
          <w:b w:val="0"/>
          <w:sz w:val="28"/>
          <w:szCs w:val="28"/>
          <w:highlight w:val="none"/>
        </w:rPr>
        <w:t>Ⅲ</w:t>
      </w:r>
      <w:r>
        <w:rPr>
          <w:rFonts w:hint="eastAsia" w:ascii="楷体_GB2312" w:eastAsia="楷体_GB2312"/>
          <w:b w:val="0"/>
          <w:sz w:val="28"/>
          <w:szCs w:val="28"/>
          <w:highlight w:val="none"/>
        </w:rPr>
        <w:t>章）</w:t>
      </w:r>
      <w:bookmarkEnd w:id="57"/>
    </w:p>
    <w:p>
      <w:pPr>
        <w:pStyle w:val="71"/>
        <w:adjustRightInd/>
        <w:ind w:left="420" w:leftChars="200"/>
        <w:rPr>
          <w:strike/>
          <w:color w:val="auto"/>
          <w:sz w:val="21"/>
          <w:szCs w:val="21"/>
          <w:highlight w:val="none"/>
        </w:rPr>
      </w:pPr>
    </w:p>
    <w:p>
      <w:pPr>
        <w:pStyle w:val="3"/>
        <w:ind w:left="765" w:hanging="240"/>
        <w:jc w:val="center"/>
        <w:rPr>
          <w:sz w:val="24"/>
          <w:szCs w:val="24"/>
          <w:highlight w:val="none"/>
        </w:rPr>
      </w:pPr>
      <w:bookmarkStart w:id="58" w:name="_Toc23849"/>
      <w:r>
        <w:rPr>
          <w:rFonts w:cstheme="minorBidi"/>
          <w:bCs w:val="0"/>
          <w:caps w:val="0"/>
          <w:kern w:val="2"/>
          <w:sz w:val="24"/>
          <w:szCs w:val="24"/>
          <w:highlight w:val="none"/>
          <w:lang w:val="en-US"/>
        </w:rPr>
        <w:t>B</w:t>
      </w:r>
      <w:r>
        <w:rPr>
          <w:rFonts w:hint="eastAsia" w:cstheme="minorBidi"/>
          <w:bCs w:val="0"/>
          <w:caps w:val="0"/>
          <w:kern w:val="2"/>
          <w:sz w:val="24"/>
          <w:szCs w:val="24"/>
          <w:highlight w:val="none"/>
          <w:lang w:val="en-US"/>
        </w:rPr>
        <w:t>部分　</w:t>
      </w:r>
      <w:r>
        <w:rPr>
          <w:rFonts w:cstheme="minorBidi"/>
          <w:bCs w:val="0"/>
          <w:caps w:val="0"/>
          <w:kern w:val="2"/>
          <w:sz w:val="24"/>
          <w:szCs w:val="24"/>
          <w:highlight w:val="none"/>
          <w:lang w:val="en-US"/>
        </w:rPr>
        <w:t xml:space="preserve"> </w:t>
      </w:r>
      <w:r>
        <w:rPr>
          <w:rFonts w:hint="eastAsia" w:cstheme="minorBidi"/>
          <w:bCs w:val="0"/>
          <w:caps w:val="0"/>
          <w:kern w:val="2"/>
          <w:sz w:val="24"/>
          <w:szCs w:val="24"/>
          <w:highlight w:val="none"/>
          <w:lang w:val="en-US"/>
        </w:rPr>
        <w:t>船舶和救生设备的要求</w:t>
      </w:r>
      <w:bookmarkEnd w:id="58"/>
    </w:p>
    <w:p>
      <w:pPr>
        <w:ind w:firstLine="360" w:firstLineChars="150"/>
        <w:rPr>
          <w:rFonts w:ascii="楷体_GB2312" w:eastAsia="楷体_GB2312"/>
          <w:sz w:val="24"/>
          <w:szCs w:val="24"/>
          <w:highlight w:val="none"/>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ascii="Times New Roman" w:hAnsi="Times New Roman" w:cstheme="minorBidi"/>
          <w:bCs w:val="0"/>
          <w:caps w:val="0"/>
          <w:kern w:val="0"/>
          <w:sz w:val="21"/>
          <w:szCs w:val="21"/>
          <w:highlight w:val="none"/>
          <w:lang w:val="en-US"/>
        </w:rPr>
      </w:pPr>
      <w:bookmarkStart w:id="59" w:name="_Toc1893"/>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33</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救生艇筏的登乘与降落布置</w:t>
      </w:r>
      <w:bookmarkEnd w:id="59"/>
    </w:p>
    <w:p>
      <w:pPr>
        <w:rPr>
          <w:b/>
          <w:highlight w:val="none"/>
        </w:rPr>
      </w:pPr>
    </w:p>
    <w:p>
      <w:pPr>
        <w:ind w:firstLine="420" w:firstLineChars="200"/>
        <w:rPr>
          <w:color w:val="auto"/>
          <w:highlight w:val="none"/>
          <w:u w:val="none"/>
        </w:rPr>
      </w:pPr>
      <w:r>
        <w:rPr>
          <w:rFonts w:hint="eastAsia" w:ascii="楷体_GB2312" w:eastAsia="楷体_GB2312"/>
          <w:color w:val="auto"/>
          <w:sz w:val="21"/>
          <w:szCs w:val="21"/>
          <w:highlight w:val="none"/>
          <w:u w:val="none"/>
        </w:rPr>
        <w:t>自2024年1月1日起，</w:t>
      </w:r>
      <w:r>
        <w:rPr>
          <w:rFonts w:hint="eastAsia" w:ascii="楷体_GB2312" w:eastAsia="楷体_GB2312"/>
          <w:color w:val="auto"/>
          <w:sz w:val="21"/>
          <w:szCs w:val="21"/>
          <w:highlight w:val="none"/>
          <w:u w:val="none"/>
          <w:lang w:eastAsia="zh-CN"/>
        </w:rPr>
        <w:t>原</w:t>
      </w:r>
      <w:r>
        <w:rPr>
          <w:rFonts w:hint="eastAsia" w:ascii="楷体_GB2312" w:eastAsia="楷体_GB2312"/>
          <w:color w:val="auto"/>
          <w:sz w:val="21"/>
          <w:szCs w:val="21"/>
          <w:highlight w:val="none"/>
          <w:u w:val="none"/>
          <w:lang w:val="en-US" w:eastAsia="zh-CN"/>
        </w:rPr>
        <w:t>2</w:t>
      </w:r>
      <w:r>
        <w:rPr>
          <w:rFonts w:hint="eastAsia" w:ascii="楷体_GB2312" w:eastAsia="楷体_GB2312"/>
          <w:color w:val="auto"/>
          <w:sz w:val="21"/>
          <w:szCs w:val="21"/>
          <w:highlight w:val="none"/>
          <w:u w:val="none"/>
          <w:lang w:eastAsia="zh-CN"/>
        </w:rPr>
        <w:t>改为</w:t>
      </w:r>
      <w:r>
        <w:rPr>
          <w:rFonts w:hint="eastAsia" w:ascii="楷体_GB2312" w:eastAsia="楷体_GB2312"/>
          <w:color w:val="auto"/>
          <w:sz w:val="21"/>
          <w:szCs w:val="21"/>
          <w:highlight w:val="none"/>
          <w:u w:val="none"/>
        </w:rPr>
        <w:t>：</w:t>
      </w:r>
    </w:p>
    <w:p>
      <w:pPr>
        <w:pStyle w:val="24"/>
        <w:tabs>
          <w:tab w:val="left" w:pos="984"/>
        </w:tabs>
        <w:ind w:firstLine="420" w:firstLineChars="200"/>
        <w:rPr>
          <w:rFonts w:hint="eastAsia" w:ascii="Times New Roman" w:hAnsi="Times New Roman" w:eastAsia="宋体" w:cs="Times New Roman"/>
          <w:color w:val="FF0000"/>
          <w:highlight w:val="none"/>
          <w:u w:val="single"/>
          <w:lang w:eastAsia="zh-CN"/>
        </w:rPr>
      </w:pPr>
      <w:r>
        <w:rPr>
          <w:rFonts w:hint="eastAsia" w:ascii="Times New Roman" w:hAnsi="Times New Roman" w:cs="Times New Roman"/>
          <w:color w:val="auto"/>
          <w:kern w:val="0"/>
          <w:szCs w:val="21"/>
          <w:highlight w:val="none"/>
          <w:u w:val="none"/>
          <w:lang w:eastAsia="zh-CN"/>
        </w:rPr>
        <w:t>“</w:t>
      </w:r>
      <w:r>
        <w:rPr>
          <w:rFonts w:hint="eastAsia" w:ascii="Times New Roman" w:hAnsi="Times New Roman" w:cs="Times New Roman"/>
          <w:color w:val="auto"/>
          <w:kern w:val="0"/>
          <w:szCs w:val="21"/>
          <w:highlight w:val="none"/>
          <w:u w:val="none"/>
        </w:rPr>
        <w:t>2  20,000总吨及以上的货船，其</w:t>
      </w:r>
      <w:r>
        <w:rPr>
          <w:rFonts w:hint="eastAsia" w:ascii="Times New Roman" w:hAnsi="Times New Roman" w:cs="Times New Roman"/>
          <w:color w:val="FF0000"/>
          <w:kern w:val="0"/>
          <w:szCs w:val="21"/>
          <w:highlight w:val="none"/>
          <w:u w:val="single"/>
        </w:rPr>
        <w:t>吊架降落式</w:t>
      </w:r>
      <w:r>
        <w:rPr>
          <w:rFonts w:hint="eastAsia" w:ascii="Times New Roman" w:hAnsi="Times New Roman" w:cs="Times New Roman"/>
          <w:color w:val="auto"/>
          <w:kern w:val="0"/>
          <w:szCs w:val="21"/>
          <w:highlight w:val="none"/>
          <w:u w:val="none"/>
        </w:rPr>
        <w:t>救生艇应能在该船于平静水域前进速度达5 kn时降落，必要时可利用艇首缆。</w:t>
      </w:r>
      <w:r>
        <w:rPr>
          <w:rFonts w:hint="eastAsia" w:ascii="Times New Roman" w:hAnsi="Times New Roman" w:cs="Times New Roman"/>
          <w:color w:val="auto"/>
          <w:kern w:val="0"/>
          <w:szCs w:val="21"/>
          <w:highlight w:val="none"/>
          <w:u w:val="none"/>
          <w:lang w:eastAsia="zh-CN"/>
        </w:rPr>
        <w:t>”</w:t>
      </w:r>
    </w:p>
    <w:p>
      <w:pPr>
        <w:pStyle w:val="3"/>
        <w:ind w:left="0"/>
        <w:jc w:val="center"/>
        <w:rPr>
          <w:rFonts w:ascii="Times New Roman" w:hAnsi="Times New Roman" w:cstheme="minorBidi"/>
          <w:bCs w:val="0"/>
          <w:caps w:val="0"/>
          <w:kern w:val="2"/>
          <w:sz w:val="28"/>
          <w:szCs w:val="28"/>
          <w:highlight w:val="none"/>
          <w:lang w:val="en-US"/>
        </w:rPr>
      </w:pPr>
      <w:r>
        <w:rPr>
          <w:highlight w:val="none"/>
        </w:rPr>
        <w:br w:type="page"/>
      </w:r>
      <w:bookmarkStart w:id="60" w:name="_Toc25298"/>
      <w:r>
        <w:rPr>
          <w:rFonts w:hint="eastAsia" w:ascii="Times New Roman" w:hAnsi="Times New Roman" w:cstheme="minorBidi"/>
          <w:bCs w:val="0"/>
          <w:caps w:val="0"/>
          <w:kern w:val="2"/>
          <w:sz w:val="28"/>
          <w:szCs w:val="28"/>
          <w:highlight w:val="none"/>
          <w:lang w:val="en-US"/>
        </w:rPr>
        <w:t>附录</w:t>
      </w:r>
      <w:r>
        <w:rPr>
          <w:rFonts w:ascii="Times New Roman" w:hAnsi="Times New Roman" w:cstheme="minorBidi"/>
          <w:bCs w:val="0"/>
          <w:caps w:val="0"/>
          <w:kern w:val="2"/>
          <w:sz w:val="28"/>
          <w:szCs w:val="28"/>
          <w:highlight w:val="none"/>
          <w:lang w:val="en-US"/>
        </w:rPr>
        <w:t>2</w:t>
      </w:r>
      <w:r>
        <w:rPr>
          <w:rFonts w:hint="eastAsia" w:ascii="Times New Roman" w:hAnsi="Times New Roman" w:cstheme="minorBidi"/>
          <w:bCs w:val="0"/>
          <w:caps w:val="0"/>
          <w:kern w:val="2"/>
          <w:sz w:val="28"/>
          <w:szCs w:val="28"/>
          <w:highlight w:val="none"/>
          <w:lang w:val="en-US" w:eastAsia="zh-CN"/>
        </w:rPr>
        <w:t xml:space="preserve"> </w:t>
      </w:r>
      <w:r>
        <w:rPr>
          <w:rFonts w:ascii="Times New Roman" w:hAnsi="Times New Roman" w:cstheme="minorBidi"/>
          <w:bCs w:val="0"/>
          <w:caps w:val="0"/>
          <w:kern w:val="2"/>
          <w:sz w:val="28"/>
          <w:szCs w:val="28"/>
          <w:highlight w:val="none"/>
          <w:lang w:val="en-US"/>
        </w:rPr>
        <w:t xml:space="preserve"> </w:t>
      </w:r>
      <w:r>
        <w:rPr>
          <w:rFonts w:hint="eastAsia" w:ascii="Times New Roman" w:hAnsi="Times New Roman" w:cstheme="minorBidi"/>
          <w:bCs w:val="0"/>
          <w:caps w:val="0"/>
          <w:kern w:val="2"/>
          <w:sz w:val="28"/>
          <w:szCs w:val="28"/>
          <w:highlight w:val="none"/>
          <w:lang w:val="en-US"/>
        </w:rPr>
        <w:t>国际救生设备规则</w:t>
      </w:r>
      <w:bookmarkEnd w:id="60"/>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b w:val="0"/>
          <w:kern w:val="0"/>
          <w:highlight w:val="none"/>
          <w:lang w:eastAsia="zh-CN"/>
        </w:rPr>
      </w:pPr>
      <w:bookmarkStart w:id="61" w:name="_Toc20955"/>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rPr>
        <w:fldChar w:fldCharType="begin"/>
      </w:r>
      <w:r>
        <w:rPr>
          <w:rFonts w:hint="eastAsia" w:ascii="Times New Roman" w:hAnsi="Times New Roman" w:cstheme="minorBidi"/>
          <w:bCs w:val="0"/>
          <w:caps w:val="0"/>
          <w:kern w:val="0"/>
          <w:sz w:val="21"/>
          <w:szCs w:val="21"/>
          <w:highlight w:val="none"/>
          <w:lang w:val="en-US"/>
        </w:rPr>
        <w:instrText xml:space="preserve"> = 4 \* ROMAN \* MERGEFORMAT </w:instrText>
      </w:r>
      <w:r>
        <w:rPr>
          <w:rFonts w:hint="eastAsia" w:ascii="Times New Roman" w:hAnsi="Times New Roman" w:cstheme="minorBidi"/>
          <w:bCs w:val="0"/>
          <w:caps w:val="0"/>
          <w:kern w:val="0"/>
          <w:sz w:val="21"/>
          <w:szCs w:val="21"/>
          <w:highlight w:val="none"/>
          <w:lang w:val="en-US"/>
        </w:rPr>
        <w:fldChar w:fldCharType="separate"/>
      </w:r>
      <w:r>
        <w:rPr>
          <w:highlight w:val="none"/>
        </w:rPr>
        <w:t>I</w:t>
      </w:r>
      <w:r>
        <w:rPr>
          <w:rFonts w:hint="eastAsia" w:ascii="Times New Roman" w:hAnsi="Times New Roman" w:cstheme="minorBidi"/>
          <w:bCs w:val="0"/>
          <w:caps w:val="0"/>
          <w:kern w:val="0"/>
          <w:sz w:val="21"/>
          <w:szCs w:val="21"/>
          <w:highlight w:val="none"/>
          <w:lang w:val="en-US"/>
        </w:rPr>
        <w:fldChar w:fldCharType="end"/>
      </w:r>
      <w:r>
        <w:rPr>
          <w:rFonts w:hint="eastAsia" w:ascii="Times New Roman" w:hAnsi="Times New Roman" w:cstheme="minorBidi"/>
          <w:bCs w:val="0"/>
          <w:caps w:val="0"/>
          <w:kern w:val="0"/>
          <w:sz w:val="21"/>
          <w:szCs w:val="21"/>
          <w:highlight w:val="none"/>
          <w:lang w:val="en-US"/>
        </w:rPr>
        <w:t>章</w:t>
      </w:r>
      <w:r>
        <w:rPr>
          <w:rFonts w:ascii="Times New Roman" w:hAnsi="Times New Roman" w:cstheme="minorBidi"/>
          <w:bCs w:val="0"/>
          <w:caps w:val="0"/>
          <w:kern w:val="0"/>
          <w:sz w:val="21"/>
          <w:szCs w:val="21"/>
          <w:highlight w:val="none"/>
          <w:lang w:val="en-US"/>
        </w:rPr>
        <w:t xml:space="preserve">  </w:t>
      </w:r>
      <w:r>
        <w:rPr>
          <w:rFonts w:hint="eastAsia" w:ascii="Times New Roman" w:hAnsi="Times New Roman" w:cstheme="minorBidi"/>
          <w:bCs w:val="0"/>
          <w:caps w:val="0"/>
          <w:kern w:val="0"/>
          <w:sz w:val="21"/>
          <w:szCs w:val="21"/>
          <w:highlight w:val="none"/>
          <w:lang w:val="en-US" w:eastAsia="zh-CN"/>
        </w:rPr>
        <w:t>通 则</w:t>
      </w:r>
      <w:bookmarkEnd w:id="61"/>
    </w:p>
    <w:p>
      <w:pPr>
        <w:rPr>
          <w:rFonts w:ascii="楷体_GB2312" w:eastAsia="楷体_GB2312"/>
          <w:sz w:val="24"/>
          <w:szCs w:val="24"/>
          <w:highlight w:val="none"/>
        </w:rPr>
      </w:pPr>
    </w:p>
    <w:p>
      <w:pPr>
        <w:autoSpaceDE w:val="0"/>
        <w:autoSpaceDN w:val="0"/>
        <w:adjustRightInd w:val="0"/>
        <w:ind w:firstLine="630" w:firstLineChars="300"/>
        <w:rPr>
          <w:rFonts w:hint="eastAsia" w:ascii="Times New Roman" w:hAnsi="Times New Roman" w:eastAsia="楷体_GB2312"/>
          <w:kern w:val="0"/>
          <w:sz w:val="21"/>
          <w:szCs w:val="21"/>
          <w:highlight w:val="none"/>
          <w:lang w:eastAsia="zh-CN"/>
        </w:rPr>
      </w:pPr>
      <w:r>
        <w:rPr>
          <w:rFonts w:hint="eastAsia" w:ascii="楷体_GB2312" w:eastAsia="楷体_GB2312"/>
          <w:highlight w:val="none"/>
        </w:rPr>
        <w:t>1.</w:t>
      </w:r>
      <w:r>
        <w:rPr>
          <w:rFonts w:hint="eastAsia" w:ascii="楷体_GB2312" w:eastAsia="楷体_GB2312"/>
          <w:highlight w:val="none"/>
          <w:lang w:val="en-US" w:eastAsia="zh-CN"/>
        </w:rPr>
        <w:t>2</w:t>
      </w:r>
      <w:r>
        <w:rPr>
          <w:rFonts w:hint="eastAsia" w:ascii="楷体_GB2312" w:eastAsia="楷体_GB2312"/>
          <w:highlight w:val="none"/>
        </w:rPr>
        <w:t>.2</w:t>
      </w:r>
      <w:r>
        <w:rPr>
          <w:rFonts w:hint="eastAsia" w:ascii="楷体_GB2312" w:eastAsia="楷体_GB2312"/>
          <w:highlight w:val="none"/>
          <w:lang w:val="en-US" w:eastAsia="zh-CN"/>
        </w:rPr>
        <w:t>.7的</w:t>
      </w:r>
      <w:r>
        <w:rPr>
          <w:rFonts w:hint="eastAsia" w:ascii="楷体_GB2312" w:eastAsia="楷体_GB2312"/>
          <w:highlight w:val="none"/>
          <w:lang w:eastAsia="zh-CN"/>
        </w:rPr>
        <w:t>原</w:t>
      </w:r>
      <w:r>
        <w:rPr>
          <w:rFonts w:hint="eastAsia" w:ascii="楷体_GB2312" w:eastAsia="楷体_GB2312"/>
          <w:highlight w:val="none"/>
          <w:lang w:val="en-US" w:eastAsia="zh-CN"/>
        </w:rPr>
        <w:t>脚注</w:t>
      </w:r>
      <w:r>
        <w:rPr>
          <w:rFonts w:hint="eastAsia" w:ascii="楷体_GB2312" w:eastAsia="楷体_GB2312"/>
          <w:highlight w:val="none"/>
          <w:lang w:val="en-US" w:eastAsia="zh-CN"/>
        </w:rPr>
        <w:fldChar w:fldCharType="begin"/>
      </w:r>
      <w:r>
        <w:rPr>
          <w:rFonts w:hint="eastAsia" w:ascii="楷体_GB2312" w:eastAsia="楷体_GB2312"/>
          <w:highlight w:val="none"/>
          <w:lang w:val="en-US" w:eastAsia="zh-CN"/>
        </w:rPr>
        <w:instrText xml:space="preserve"> = 1 \* GB3 \* MERGEFORMAT </w:instrText>
      </w:r>
      <w:r>
        <w:rPr>
          <w:rFonts w:hint="eastAsia" w:ascii="楷体_GB2312" w:eastAsia="楷体_GB2312"/>
          <w:highlight w:val="none"/>
          <w:lang w:val="en-US" w:eastAsia="zh-CN"/>
        </w:rPr>
        <w:fldChar w:fldCharType="separate"/>
      </w:r>
      <w:r>
        <w:t>①</w:t>
      </w:r>
      <w:r>
        <w:rPr>
          <w:rFonts w:hint="eastAsia" w:ascii="楷体_GB2312" w:eastAsia="楷体_GB2312"/>
          <w:highlight w:val="none"/>
          <w:lang w:val="en-US" w:eastAsia="zh-CN"/>
        </w:rPr>
        <w:fldChar w:fldCharType="end"/>
      </w:r>
      <w:r>
        <w:rPr>
          <w:rFonts w:hint="eastAsia" w:ascii="楷体_GB2312" w:eastAsia="楷体_GB2312"/>
          <w:highlight w:val="none"/>
          <w:lang w:eastAsia="zh-CN"/>
        </w:rPr>
        <w:t>改为</w:t>
      </w:r>
      <w:r>
        <w:rPr>
          <w:rFonts w:hint="eastAsia" w:ascii="楷体_GB2312" w:eastAsia="楷体_GB2312"/>
          <w:sz w:val="21"/>
          <w:szCs w:val="21"/>
          <w:highlight w:val="none"/>
        </w:rPr>
        <w:t>：</w:t>
      </w:r>
    </w:p>
    <w:p>
      <w:pPr>
        <w:pStyle w:val="24"/>
        <w:tabs>
          <w:tab w:val="left" w:pos="984"/>
        </w:tabs>
        <w:ind w:firstLine="420" w:firstLineChars="200"/>
        <w:rPr>
          <w:rFonts w:hint="eastAsia" w:eastAsiaTheme="minorEastAsia"/>
          <w:highlight w:val="none"/>
          <w:lang w:eastAsia="zh-CN"/>
        </w:rPr>
      </w:pPr>
      <w:r>
        <w:rPr>
          <w:rFonts w:hint="eastAsia" w:ascii="Times New Roman" w:hAnsi="Times New Roman" w:cs="Times New Roman"/>
          <w:color w:val="auto"/>
          <w:kern w:val="0"/>
          <w:szCs w:val="21"/>
          <w:highlight w:val="none"/>
          <w:u w:val="none"/>
          <w:lang w:eastAsia="zh-CN"/>
        </w:rPr>
        <w:t>“</w:t>
      </w:r>
      <w:r>
        <w:rPr>
          <w:rFonts w:hint="eastAsia" w:ascii="Times New Roman" w:hAnsi="Times New Roman" w:cs="Times New Roman"/>
          <w:color w:val="auto"/>
          <w:kern w:val="0"/>
          <w:szCs w:val="21"/>
          <w:highlight w:val="none"/>
          <w:u w:val="none"/>
          <w:lang w:eastAsia="zh-CN"/>
        </w:rPr>
        <w:fldChar w:fldCharType="begin"/>
      </w:r>
      <w:r>
        <w:rPr>
          <w:rFonts w:hint="eastAsia" w:ascii="Times New Roman" w:hAnsi="Times New Roman" w:cs="Times New Roman"/>
          <w:color w:val="auto"/>
          <w:kern w:val="0"/>
          <w:szCs w:val="21"/>
          <w:highlight w:val="none"/>
          <w:u w:val="none"/>
          <w:lang w:eastAsia="zh-CN"/>
        </w:rPr>
        <w:instrText xml:space="preserve"> = 1 \* GB3 \* MERGEFORMAT </w:instrText>
      </w:r>
      <w:r>
        <w:rPr>
          <w:rFonts w:hint="eastAsia" w:ascii="Times New Roman" w:hAnsi="Times New Roman" w:cs="Times New Roman"/>
          <w:color w:val="auto"/>
          <w:kern w:val="0"/>
          <w:szCs w:val="21"/>
          <w:highlight w:val="none"/>
          <w:u w:val="none"/>
          <w:lang w:eastAsia="zh-CN"/>
        </w:rPr>
        <w:fldChar w:fldCharType="separate"/>
      </w:r>
      <w:r>
        <w:t>①</w:t>
      </w:r>
      <w:r>
        <w:rPr>
          <w:rFonts w:hint="eastAsia" w:ascii="Times New Roman" w:hAnsi="Times New Roman" w:cs="Times New Roman"/>
          <w:color w:val="auto"/>
          <w:kern w:val="0"/>
          <w:szCs w:val="21"/>
          <w:highlight w:val="none"/>
          <w:u w:val="none"/>
          <w:lang w:eastAsia="zh-CN"/>
        </w:rPr>
        <w:fldChar w:fldCharType="end"/>
      </w:r>
      <w:r>
        <w:rPr>
          <w:rFonts w:hint="eastAsia" w:ascii="Times New Roman" w:hAnsi="Times New Roman" w:cs="Times New Roman"/>
          <w:color w:val="auto"/>
          <w:kern w:val="0"/>
          <w:szCs w:val="21"/>
          <w:highlight w:val="none"/>
          <w:u w:val="none"/>
          <w:lang w:val="en-US" w:eastAsia="zh-CN"/>
        </w:rPr>
        <w:t xml:space="preserve"> </w:t>
      </w:r>
      <w:r>
        <w:rPr>
          <w:rFonts w:hint="eastAsia" w:ascii="Times New Roman" w:hAnsi="Times New Roman" w:cs="Times New Roman"/>
          <w:color w:val="auto"/>
          <w:kern w:val="0"/>
          <w:szCs w:val="21"/>
          <w:highlight w:val="none"/>
          <w:u w:val="none"/>
        </w:rPr>
        <w:t>参见国际海事组织通过的</w:t>
      </w:r>
      <w:r>
        <w:rPr>
          <w:rFonts w:hint="eastAsia" w:ascii="Times New Roman" w:hAnsi="Times New Roman" w:cs="Times New Roman"/>
          <w:strike w:val="0"/>
          <w:dstrike w:val="0"/>
          <w:color w:val="auto"/>
          <w:kern w:val="0"/>
          <w:szCs w:val="21"/>
          <w:highlight w:val="none"/>
          <w:u w:val="none"/>
        </w:rPr>
        <w:t xml:space="preserve">、可能要修改的 </w:t>
      </w:r>
      <w:r>
        <w:rPr>
          <w:rFonts w:hint="eastAsia" w:ascii="Times New Roman" w:hAnsi="Times New Roman" w:cs="Times New Roman"/>
          <w:strike w:val="0"/>
          <w:dstrike w:val="0"/>
          <w:color w:val="auto"/>
          <w:kern w:val="0"/>
          <w:szCs w:val="21"/>
          <w:highlight w:val="none"/>
          <w:u w:val="none"/>
          <w:lang w:val="en-US" w:eastAsia="zh-CN"/>
        </w:rPr>
        <w:t>A.658（16）</w:t>
      </w:r>
      <w:r>
        <w:rPr>
          <w:rFonts w:hint="eastAsia" w:ascii="Times New Roman" w:hAnsi="Times New Roman" w:cs="Times New Roman"/>
          <w:strike w:val="0"/>
          <w:dstrike w:val="0"/>
          <w:color w:val="auto"/>
          <w:kern w:val="0"/>
          <w:szCs w:val="21"/>
          <w:highlight w:val="none"/>
          <w:u w:val="none"/>
        </w:rPr>
        <w:t>决议</w:t>
      </w:r>
      <w:r>
        <w:rPr>
          <w:rFonts w:hint="eastAsia" w:ascii="Times New Roman" w:hAnsi="Times New Roman" w:cs="Times New Roman"/>
          <w:strike w:val="0"/>
          <w:dstrike w:val="0"/>
          <w:color w:val="auto"/>
          <w:kern w:val="0"/>
          <w:szCs w:val="21"/>
          <w:highlight w:val="none"/>
          <w:u w:val="none"/>
          <w:lang w:eastAsia="zh-CN"/>
        </w:rPr>
        <w:t>《</w:t>
      </w:r>
      <w:r>
        <w:rPr>
          <w:rFonts w:hint="eastAsia" w:ascii="Times New Roman" w:hAnsi="Times New Roman" w:cs="Times New Roman"/>
          <w:strike w:val="0"/>
          <w:dstrike w:val="0"/>
          <w:color w:val="auto"/>
          <w:kern w:val="0"/>
          <w:szCs w:val="21"/>
          <w:highlight w:val="none"/>
          <w:u w:val="none"/>
        </w:rPr>
        <w:t>在救生设备上使用和装贴逆向反光材料的建议案</w:t>
      </w:r>
      <w:r>
        <w:rPr>
          <w:rFonts w:hint="eastAsia" w:ascii="Times New Roman" w:hAnsi="Times New Roman" w:cs="Times New Roman"/>
          <w:strike w:val="0"/>
          <w:dstrike w:val="0"/>
          <w:color w:val="auto"/>
          <w:kern w:val="0"/>
          <w:szCs w:val="21"/>
          <w:highlight w:val="none"/>
          <w:u w:val="none"/>
          <w:lang w:eastAsia="zh-CN"/>
        </w:rPr>
        <w:t>》；</w:t>
      </w:r>
      <w:r>
        <w:rPr>
          <w:rFonts w:hint="eastAsia" w:ascii="Times New Roman" w:hAnsi="Times New Roman" w:cs="Times New Roman"/>
          <w:strike w:val="0"/>
          <w:dstrike w:val="0"/>
          <w:color w:val="FF0000"/>
          <w:kern w:val="0"/>
          <w:szCs w:val="21"/>
          <w:highlight w:val="none"/>
          <w:u w:val="single"/>
          <w:lang w:eastAsia="zh-CN"/>
        </w:rPr>
        <w:t>对</w:t>
      </w:r>
      <w:r>
        <w:rPr>
          <w:rFonts w:hint="eastAsia" w:ascii="Times New Roman" w:hAnsi="Times New Roman" w:cs="Times New Roman"/>
          <w:strike w:val="0"/>
          <w:dstrike w:val="0"/>
          <w:color w:val="FF0000"/>
          <w:kern w:val="0"/>
          <w:szCs w:val="21"/>
          <w:highlight w:val="none"/>
          <w:u w:val="single"/>
          <w:lang w:val="en-US" w:eastAsia="zh-CN"/>
        </w:rPr>
        <w:t>2020年11月9日及以后安装在救生设备上的反光材料，参见MSC.481(102)决议《</w:t>
      </w:r>
      <w:r>
        <w:rPr>
          <w:rFonts w:hint="eastAsia" w:asciiTheme="minorEastAsia" w:hAnsiTheme="minorEastAsia" w:cstheme="minorEastAsia"/>
          <w:color w:val="FF0000"/>
          <w:kern w:val="0"/>
          <w:sz w:val="21"/>
          <w:szCs w:val="21"/>
          <w:u w:val="single"/>
        </w:rPr>
        <w:t>经修订的关于救生设备使用和安装反光材料的建议</w:t>
      </w:r>
      <w:r>
        <w:rPr>
          <w:rFonts w:hint="eastAsia" w:asciiTheme="minorEastAsia" w:hAnsiTheme="minorEastAsia" w:cstheme="minorEastAsia"/>
          <w:color w:val="FF0000"/>
          <w:kern w:val="0"/>
          <w:sz w:val="21"/>
          <w:szCs w:val="21"/>
          <w:u w:val="single"/>
          <w:lang w:eastAsia="zh-CN"/>
        </w:rPr>
        <w:t>案》。</w:t>
      </w:r>
      <w:r>
        <w:rPr>
          <w:rFonts w:hint="eastAsia" w:ascii="Times New Roman" w:hAnsi="Times New Roman" w:cs="Times New Roman"/>
          <w:color w:val="auto"/>
          <w:kern w:val="0"/>
          <w:szCs w:val="21"/>
          <w:highlight w:val="none"/>
          <w:u w:val="none"/>
          <w:lang w:eastAsia="zh-CN"/>
        </w:rPr>
        <w:t>”</w:t>
      </w:r>
    </w:p>
    <w:p>
      <w:pPr>
        <w:keepNext w:val="0"/>
        <w:keepLines w:val="0"/>
        <w:widowControl w:val="0"/>
        <w:suppressLineNumbers w:val="0"/>
        <w:spacing w:before="0" w:beforeAutospacing="0" w:after="0" w:afterAutospacing="0"/>
        <w:ind w:left="0" w:right="0"/>
        <w:jc w:val="both"/>
        <w:rPr>
          <w:rFonts w:hint="default" w:ascii="楷体" w:hAnsi="楷体" w:eastAsia="楷体" w:cs="楷体"/>
          <w:color w:val="040AFA"/>
          <w:kern w:val="0"/>
          <w:sz w:val="21"/>
          <w:szCs w:val="21"/>
          <w:lang w:val="en-US" w:eastAsia="zh-CN" w:bidi="ar"/>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宋体" w:cs="Arial"/>
          <w:b w:val="0"/>
          <w:bCs w:val="0"/>
          <w:caps/>
          <w:kern w:val="0"/>
          <w:sz w:val="22"/>
          <w:szCs w:val="22"/>
        </w:rPr>
      </w:pPr>
      <w:bookmarkStart w:id="62" w:name="_Toc4545"/>
      <w:r>
        <w:rPr>
          <w:rFonts w:hint="eastAsia" w:ascii="宋体" w:hAnsi="宋体" w:eastAsia="宋体" w:cs="宋体"/>
          <w:b/>
          <w:bCs/>
          <w:caps w:val="0"/>
          <w:kern w:val="0"/>
          <w:sz w:val="21"/>
          <w:szCs w:val="21"/>
        </w:rPr>
        <w:t>第</w:t>
      </w:r>
      <w:r>
        <w:rPr>
          <w:rFonts w:hint="default" w:ascii="Calibri" w:hAnsi="Calibri" w:eastAsia="宋体" w:cs="Arial"/>
          <w:b/>
          <w:bCs/>
          <w:caps/>
          <w:kern w:val="32"/>
          <w:sz w:val="22"/>
          <w:szCs w:val="22"/>
        </w:rPr>
        <w:t>II</w:t>
      </w:r>
      <w:r>
        <w:rPr>
          <w:rFonts w:hint="eastAsia" w:ascii="宋体" w:hAnsi="宋体" w:eastAsia="宋体" w:cs="宋体"/>
          <w:b/>
          <w:bCs/>
          <w:caps w:val="0"/>
          <w:kern w:val="0"/>
          <w:sz w:val="21"/>
          <w:szCs w:val="21"/>
        </w:rPr>
        <w:t>章</w:t>
      </w:r>
      <w:r>
        <w:rPr>
          <w:rFonts w:hint="default" w:ascii="Times New Roman" w:hAnsi="Times New Roman" w:eastAsia="宋体" w:cs="Times New Roman"/>
          <w:b/>
          <w:bCs/>
          <w:caps w:val="0"/>
          <w:kern w:val="0"/>
          <w:sz w:val="21"/>
          <w:szCs w:val="21"/>
        </w:rPr>
        <w:t xml:space="preserve">  </w:t>
      </w:r>
      <w:r>
        <w:rPr>
          <w:rFonts w:hint="eastAsia" w:ascii="宋体" w:hAnsi="宋体" w:eastAsia="宋体" w:cs="宋体"/>
          <w:b/>
          <w:bCs/>
          <w:caps w:val="0"/>
          <w:kern w:val="0"/>
          <w:sz w:val="21"/>
          <w:szCs w:val="21"/>
        </w:rPr>
        <w:t>个人救生设备</w:t>
      </w:r>
      <w:bookmarkEnd w:id="62"/>
    </w:p>
    <w:p>
      <w:pPr>
        <w:keepNext w:val="0"/>
        <w:keepLines w:val="0"/>
        <w:widowControl w:val="0"/>
        <w:suppressLineNumbers w:val="0"/>
        <w:spacing w:before="0" w:beforeAutospacing="0" w:after="0" w:afterAutospacing="0"/>
        <w:ind w:left="0" w:right="0"/>
        <w:jc w:val="both"/>
        <w:rPr>
          <w:rFonts w:hint="default" w:ascii="楷体_GB2312" w:hAnsi="Calibri" w:eastAsia="楷体_GB2312" w:cs="Times New Roman"/>
          <w:kern w:val="2"/>
          <w:sz w:val="24"/>
          <w:szCs w:val="24"/>
        </w:rPr>
      </w:pPr>
      <w:r>
        <w:rPr>
          <w:rFonts w:hint="default" w:ascii="楷体_GB2312" w:hAnsi="Calibri" w:eastAsia="楷体_GB2312" w:cs="Times New Roman"/>
          <w:kern w:val="2"/>
          <w:sz w:val="24"/>
          <w:szCs w:val="24"/>
          <w:lang w:val="en-US" w:eastAsia="zh-CN" w:bidi="ar"/>
        </w:rPr>
        <w:t xml:space="preserve"> </w:t>
      </w:r>
    </w:p>
    <w:p>
      <w:pPr>
        <w:keepNext w:val="0"/>
        <w:keepLines w:val="0"/>
        <w:widowControl w:val="0"/>
        <w:suppressLineNumbers w:val="0"/>
        <w:spacing w:before="0" w:beforeAutospacing="0" w:after="0" w:afterAutospacing="0"/>
        <w:ind w:left="0" w:right="0" w:firstLine="422" w:firstLineChars="200"/>
        <w:jc w:val="both"/>
        <w:rPr>
          <w:rFonts w:hint="eastAsia" w:ascii="楷体_GB2312" w:hAnsi="Calibri" w:eastAsia="宋体" w:cs="Times New Roman"/>
          <w:kern w:val="2"/>
          <w:sz w:val="21"/>
          <w:szCs w:val="21"/>
        </w:rPr>
      </w:pPr>
      <w:r>
        <w:rPr>
          <w:rFonts w:hint="eastAsia" w:ascii="Times New Roman" w:hAnsi="Times New Roman" w:eastAsia="宋体" w:cs="Times New Roman"/>
          <w:b/>
          <w:bCs/>
          <w:kern w:val="2"/>
          <w:sz w:val="21"/>
          <w:szCs w:val="21"/>
          <w:lang w:val="en-US" w:eastAsia="zh-CN" w:bidi="ar"/>
        </w:rPr>
        <w:t>2.1</w:t>
      </w:r>
      <w:r>
        <w:rPr>
          <w:rFonts w:hint="default" w:ascii="Times New Roman" w:hAnsi="Times New Roman" w:eastAsia="宋体" w:cs="Times New Roman"/>
          <w:b/>
          <w:bCs/>
          <w:kern w:val="2"/>
          <w:sz w:val="21"/>
          <w:szCs w:val="21"/>
          <w:lang w:val="en-US" w:eastAsia="zh-CN" w:bidi="ar"/>
        </w:rPr>
        <w:t xml:space="preserve">  </w:t>
      </w:r>
      <w:r>
        <w:rPr>
          <w:rFonts w:hint="eastAsia" w:ascii="宋体" w:hAnsi="宋体" w:eastAsia="宋体" w:cs="宋体"/>
          <w:b/>
          <w:bCs/>
          <w:kern w:val="2"/>
          <w:sz w:val="21"/>
          <w:szCs w:val="21"/>
          <w:lang w:val="en-US" w:eastAsia="zh-CN" w:bidi="ar"/>
        </w:rPr>
        <w:t>救生圈</w:t>
      </w:r>
    </w:p>
    <w:p>
      <w:pPr>
        <w:pStyle w:val="47"/>
        <w:keepNext w:val="0"/>
        <w:keepLines w:val="0"/>
        <w:widowControl w:val="0"/>
        <w:suppressLineNumbers w:val="0"/>
        <w:spacing w:before="0" w:beforeAutospacing="0" w:after="0" w:afterAutospacing="0"/>
        <w:ind w:left="0" w:right="0" w:firstLine="420" w:firstLineChars="200"/>
        <w:jc w:val="both"/>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bidi="ar"/>
        </w:rPr>
        <w:t xml:space="preserve">2.1.1 </w:t>
      </w:r>
      <w:r>
        <w:rPr>
          <w:rFonts w:hint="eastAsia" w:ascii="宋体" w:hAnsi="宋体" w:eastAsia="宋体" w:cs="宋体"/>
          <w:kern w:val="0"/>
          <w:sz w:val="21"/>
          <w:szCs w:val="21"/>
          <w:lang w:val="en-US" w:eastAsia="zh-CN" w:bidi="ar"/>
        </w:rPr>
        <w:t>救生圈技术规格</w:t>
      </w:r>
    </w:p>
    <w:p>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每只救生圈应：</w:t>
      </w:r>
    </w:p>
    <w:p>
      <w:pPr>
        <w:keepNext w:val="0"/>
        <w:keepLines w:val="0"/>
        <w:widowControl w:val="0"/>
        <w:suppressLineNumbers w:val="0"/>
        <w:spacing w:before="0" w:beforeAutospacing="0" w:after="0" w:afterAutospacing="0"/>
        <w:ind w:left="0" w:right="0" w:firstLine="420" w:firstLineChars="200"/>
        <w:jc w:val="both"/>
        <w:rPr>
          <w:rFonts w:hint="default" w:ascii="Calibri" w:hAnsi="Calibri" w:eastAsia="宋体" w:cs="Times New Roman"/>
          <w:color w:val="FF0000"/>
          <w:kern w:val="2"/>
          <w:sz w:val="21"/>
          <w:szCs w:val="21"/>
          <w:u w:val="single"/>
        </w:rPr>
      </w:pPr>
      <w:r>
        <w:rPr>
          <w:rFonts w:hint="eastAsia" w:ascii="楷体_GB2312" w:hAnsi="Calibri" w:eastAsia="楷体_GB2312" w:cs="Times New Roman"/>
          <w:kern w:val="2"/>
          <w:sz w:val="21"/>
          <w:szCs w:val="21"/>
          <w:lang w:val="en-US" w:eastAsia="zh-CN" w:bidi="ar"/>
        </w:rPr>
        <w:t>原</w:t>
      </w:r>
      <w:r>
        <w:rPr>
          <w:rFonts w:hint="default" w:ascii="楷体_GB2312" w:hAnsi="Calibri" w:eastAsia="楷体_GB2312" w:cs="Times New Roman"/>
          <w:kern w:val="2"/>
          <w:sz w:val="21"/>
          <w:szCs w:val="21"/>
          <w:lang w:val="en-US" w:eastAsia="zh-CN" w:bidi="ar"/>
        </w:rPr>
        <w:t>.7</w:t>
      </w:r>
      <w:r>
        <w:rPr>
          <w:rFonts w:hint="default" w:ascii="楷体_GB2312" w:hAnsi="Calibri" w:eastAsia="楷体_GB2312" w:cs="楷体_GB2312"/>
          <w:kern w:val="2"/>
          <w:sz w:val="21"/>
          <w:szCs w:val="21"/>
          <w:lang w:val="en-US" w:eastAsia="zh-CN" w:bidi="ar"/>
        </w:rPr>
        <w:t>改为：</w:t>
      </w:r>
    </w:p>
    <w:p>
      <w:pPr>
        <w:pStyle w:val="47"/>
        <w:keepNext w:val="0"/>
        <w:keepLines w:val="0"/>
        <w:widowControl w:val="0"/>
        <w:suppressLineNumbers w:val="0"/>
        <w:spacing w:before="0" w:beforeAutospacing="0" w:after="0" w:afterAutospacing="0"/>
        <w:ind w:left="0" w:right="0" w:firstLine="420" w:firstLineChars="200"/>
        <w:jc w:val="both"/>
        <w:rPr>
          <w:rFonts w:hint="eastAsia"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bidi="ar"/>
        </w:rPr>
        <w:t>“</w:t>
      </w:r>
      <w:r>
        <w:rPr>
          <w:rFonts w:hint="eastAsia" w:ascii="宋体" w:hAnsi="宋体" w:eastAsia="宋体" w:cs="宋体"/>
          <w:strike/>
          <w:dstrike w:val="0"/>
          <w:kern w:val="0"/>
          <w:sz w:val="21"/>
          <w:szCs w:val="21"/>
          <w:lang w:val="en-US" w:eastAsia="zh-CN" w:bidi="ar"/>
        </w:rPr>
        <w:t>如救生圈配有自发烟雾信号及自亮灯配备的迅速抛投装置者，则应具有足以操动不少于４</w:t>
      </w:r>
      <w:r>
        <w:rPr>
          <w:rFonts w:hint="eastAsia" w:ascii="Times New Roman" w:hAnsi="Times New Roman" w:eastAsia="宋体" w:cs="Times New Roman"/>
          <w:strike/>
          <w:dstrike w:val="0"/>
          <w:kern w:val="0"/>
          <w:sz w:val="21"/>
          <w:szCs w:val="21"/>
          <w:lang w:val="en-US" w:eastAsia="zh-CN" w:bidi="ar"/>
        </w:rPr>
        <w:t>kg</w:t>
      </w:r>
      <w:r>
        <w:rPr>
          <w:rFonts w:hint="eastAsia" w:ascii="宋体" w:hAnsi="宋体" w:eastAsia="宋体" w:cs="宋体"/>
          <w:strike/>
          <w:dstrike w:val="0"/>
          <w:kern w:val="0"/>
          <w:sz w:val="21"/>
          <w:szCs w:val="21"/>
          <w:lang w:val="en-US" w:eastAsia="zh-CN" w:bidi="ar"/>
        </w:rPr>
        <w:t>的质量；</w:t>
      </w:r>
      <w:r>
        <w:rPr>
          <w:rFonts w:hint="eastAsia" w:ascii="宋体" w:hAnsi="宋体" w:eastAsia="宋体" w:cs="宋体"/>
          <w:color w:val="FF0000"/>
          <w:kern w:val="0"/>
          <w:sz w:val="21"/>
          <w:szCs w:val="21"/>
          <w:u w:val="single"/>
          <w:lang w:val="en-US" w:eastAsia="zh-CN" w:bidi="ar"/>
        </w:rPr>
        <w:t>如果救生圈用于为自发烟雾信号和自亮灯提供的快速释放装置，则救生圈的质量不少于</w:t>
      </w:r>
      <w:r>
        <w:rPr>
          <w:rFonts w:hint="eastAsia" w:ascii="Times New Roman" w:hAnsi="Times New Roman" w:eastAsia="宋体" w:cs="Times New Roman"/>
          <w:color w:val="FF0000"/>
          <w:kern w:val="0"/>
          <w:sz w:val="21"/>
          <w:szCs w:val="21"/>
          <w:u w:val="single"/>
          <w:lang w:val="en-US" w:eastAsia="zh-CN" w:bidi="ar"/>
        </w:rPr>
        <w:t>4kg</w:t>
      </w:r>
      <w:r>
        <w:rPr>
          <w:rFonts w:hint="eastAsia" w:ascii="宋体" w:hAnsi="宋体" w:eastAsia="宋体" w:cs="宋体"/>
          <w:color w:val="FF0000"/>
          <w:kern w:val="0"/>
          <w:sz w:val="21"/>
          <w:szCs w:val="21"/>
          <w:u w:val="single"/>
          <w:lang w:val="en-US" w:eastAsia="zh-CN" w:bidi="ar"/>
        </w:rPr>
        <w:t>；</w:t>
      </w:r>
      <w:r>
        <w:rPr>
          <w:rFonts w:hint="eastAsia" w:ascii="宋体" w:hAnsi="宋体" w:eastAsia="宋体" w:cs="宋体"/>
          <w:kern w:val="0"/>
          <w:sz w:val="21"/>
          <w:szCs w:val="21"/>
          <w:lang w:val="en-US" w:eastAsia="zh-CN" w:bidi="ar"/>
        </w:rPr>
        <w:t>”</w:t>
      </w:r>
    </w:p>
    <w:p>
      <w:pPr>
        <w:pStyle w:val="47"/>
        <w:keepNext w:val="0"/>
        <w:keepLines w:val="0"/>
        <w:widowControl w:val="0"/>
        <w:suppressLineNumbers w:val="0"/>
        <w:spacing w:before="0" w:beforeAutospacing="0" w:after="0" w:afterAutospacing="0"/>
        <w:ind w:left="0" w:right="0" w:firstLine="420" w:firstLineChars="200"/>
        <w:jc w:val="both"/>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bidi="ar"/>
        </w:rPr>
        <w:t xml:space="preserve">2.1.3 </w:t>
      </w:r>
      <w:r>
        <w:rPr>
          <w:rFonts w:hint="eastAsia" w:ascii="宋体" w:hAnsi="宋体" w:eastAsia="宋体" w:cs="宋体"/>
          <w:kern w:val="0"/>
          <w:sz w:val="21"/>
          <w:szCs w:val="21"/>
          <w:lang w:val="en-US" w:eastAsia="zh-CN" w:bidi="ar"/>
        </w:rPr>
        <w:t>救生圈自发烟雾信号</w:t>
      </w:r>
    </w:p>
    <w:p>
      <w:pPr>
        <w:pStyle w:val="47"/>
        <w:keepNext w:val="0"/>
        <w:keepLines w:val="0"/>
        <w:widowControl w:val="0"/>
        <w:suppressLineNumbers w:val="0"/>
        <w:spacing w:before="0" w:beforeAutospacing="0" w:after="0" w:afterAutospacing="0"/>
        <w:ind w:left="0" w:right="0" w:firstLine="420" w:firstLineChars="200"/>
        <w:jc w:val="both"/>
        <w:rPr>
          <w:rFonts w:hint="default" w:ascii="Times New Roman" w:hAnsi="Times New Roman" w:eastAsia="宋体" w:cs="Times New Roman"/>
          <w:kern w:val="0"/>
          <w:sz w:val="21"/>
          <w:szCs w:val="21"/>
        </w:rPr>
      </w:pPr>
      <w:r>
        <w:rPr>
          <w:rFonts w:hint="eastAsia" w:ascii="宋体" w:hAnsi="宋体" w:eastAsia="宋体" w:cs="宋体"/>
          <w:kern w:val="0"/>
          <w:sz w:val="21"/>
          <w:szCs w:val="21"/>
          <w:lang w:val="en-US" w:eastAsia="zh-CN" w:bidi="ar"/>
        </w:rPr>
        <w:t>第</w:t>
      </w:r>
      <w:r>
        <w:rPr>
          <w:rFonts w:hint="eastAsia" w:ascii="Times New Roman" w:hAnsi="Times New Roman" w:eastAsia="宋体" w:cs="Times New Roman"/>
          <w:kern w:val="0"/>
          <w:sz w:val="21"/>
          <w:szCs w:val="21"/>
          <w:lang w:val="en-US" w:eastAsia="zh-CN" w:bidi="ar"/>
        </w:rPr>
        <w:t>III</w:t>
      </w:r>
      <w:r>
        <w:rPr>
          <w:rFonts w:hint="eastAsia" w:ascii="宋体" w:hAnsi="宋体" w:eastAsia="宋体" w:cs="宋体"/>
          <w:kern w:val="0"/>
          <w:sz w:val="21"/>
          <w:szCs w:val="21"/>
          <w:lang w:val="en-US" w:eastAsia="zh-CN" w:bidi="ar"/>
        </w:rPr>
        <w:t>章</w:t>
      </w:r>
      <w:r>
        <w:rPr>
          <w:rFonts w:hint="default" w:ascii="Times New Roman" w:hAnsi="Times New Roman" w:eastAsia="宋体" w:cs="Times New Roman"/>
          <w:kern w:val="0"/>
          <w:sz w:val="21"/>
          <w:szCs w:val="21"/>
          <w:lang w:val="en-US" w:eastAsia="zh-CN" w:bidi="ar"/>
        </w:rPr>
        <w:t>7.1.3</w:t>
      </w:r>
      <w:r>
        <w:rPr>
          <w:rFonts w:hint="eastAsia" w:ascii="宋体" w:hAnsi="宋体" w:eastAsia="宋体" w:cs="宋体"/>
          <w:kern w:val="0"/>
          <w:sz w:val="21"/>
          <w:szCs w:val="21"/>
          <w:lang w:val="en-US" w:eastAsia="zh-CN" w:bidi="ar"/>
        </w:rPr>
        <w:t>条所规定的自亮灯应：</w:t>
      </w:r>
    </w:p>
    <w:p>
      <w:pPr>
        <w:pStyle w:val="47"/>
        <w:keepNext w:val="0"/>
        <w:keepLines w:val="0"/>
        <w:widowControl w:val="0"/>
        <w:suppressLineNumbers w:val="0"/>
        <w:spacing w:before="0" w:beforeAutospacing="0" w:after="0" w:afterAutospacing="0"/>
        <w:ind w:left="0" w:right="0" w:firstLine="420" w:firstLineChars="200"/>
        <w:jc w:val="both"/>
        <w:rPr>
          <w:rFonts w:hint="default" w:ascii="楷体" w:hAnsi="楷体" w:eastAsia="楷体" w:cs="楷体"/>
          <w:color w:val="040AFA"/>
          <w:kern w:val="0"/>
          <w:sz w:val="24"/>
          <w:szCs w:val="24"/>
        </w:rPr>
      </w:pPr>
      <w:r>
        <w:rPr>
          <w:rFonts w:hint="eastAsia" w:ascii="楷体_GB2312" w:hAnsi="Courier New" w:eastAsia="楷体_GB2312" w:cs="Times New Roman"/>
          <w:kern w:val="2"/>
          <w:sz w:val="21"/>
          <w:szCs w:val="21"/>
          <w:lang w:val="en-US" w:eastAsia="zh-CN" w:bidi="ar"/>
        </w:rPr>
        <w:t>原</w:t>
      </w:r>
      <w:r>
        <w:rPr>
          <w:rFonts w:hint="default" w:ascii="楷体_GB2312" w:hAnsi="Courier New" w:eastAsia="楷体_GB2312" w:cs="Times New Roman"/>
          <w:kern w:val="2"/>
          <w:sz w:val="21"/>
          <w:szCs w:val="21"/>
          <w:lang w:val="en-US" w:eastAsia="zh-CN" w:bidi="ar"/>
        </w:rPr>
        <w:t>.6</w:t>
      </w:r>
      <w:r>
        <w:rPr>
          <w:rFonts w:hint="default" w:ascii="楷体_GB2312" w:hAnsi="Courier New" w:eastAsia="楷体_GB2312" w:cs="楷体_GB2312"/>
          <w:kern w:val="2"/>
          <w:sz w:val="21"/>
          <w:szCs w:val="21"/>
          <w:lang w:val="en-US" w:eastAsia="zh-CN" w:bidi="ar"/>
        </w:rPr>
        <w:t>改为：</w:t>
      </w:r>
    </w:p>
    <w:p>
      <w:pPr>
        <w:pStyle w:val="47"/>
        <w:keepNext w:val="0"/>
        <w:keepLines w:val="0"/>
        <w:widowControl w:val="0"/>
        <w:suppressLineNumbers w:val="0"/>
        <w:spacing w:before="0" w:beforeAutospacing="0" w:after="0" w:afterAutospacing="0"/>
        <w:ind w:left="0" w:right="0" w:firstLine="420" w:firstLineChars="200"/>
        <w:jc w:val="both"/>
        <w:rPr>
          <w:rFonts w:hint="eastAsia"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bidi="ar"/>
        </w:rPr>
        <w:t>“配备快速释放装置，</w:t>
      </w:r>
      <w:r>
        <w:rPr>
          <w:rFonts w:hint="eastAsia" w:ascii="宋体" w:hAnsi="宋体" w:eastAsia="宋体" w:cs="宋体"/>
          <w:strike/>
          <w:dstrike w:val="0"/>
          <w:kern w:val="0"/>
          <w:sz w:val="21"/>
          <w:szCs w:val="21"/>
          <w:lang w:val="en-US" w:eastAsia="zh-CN" w:bidi="ar"/>
        </w:rPr>
        <w:t>该装置应能自动释放和启动信号，且与连接在质量不超过</w:t>
      </w:r>
      <w:r>
        <w:rPr>
          <w:rFonts w:hint="eastAsia" w:ascii="Times New Roman" w:hAnsi="Times New Roman" w:eastAsia="宋体" w:cs="Times New Roman"/>
          <w:strike/>
          <w:dstrike w:val="0"/>
          <w:kern w:val="0"/>
          <w:sz w:val="21"/>
          <w:szCs w:val="21"/>
          <w:lang w:val="en-US" w:eastAsia="zh-CN" w:bidi="ar"/>
        </w:rPr>
        <w:t>4kg</w:t>
      </w:r>
      <w:r>
        <w:rPr>
          <w:rFonts w:hint="eastAsia" w:ascii="宋体" w:hAnsi="宋体" w:eastAsia="宋体" w:cs="宋体"/>
          <w:strike/>
          <w:dstrike w:val="0"/>
          <w:kern w:val="0"/>
          <w:sz w:val="21"/>
          <w:szCs w:val="21"/>
          <w:lang w:val="en-US" w:eastAsia="zh-CN" w:bidi="ar"/>
        </w:rPr>
        <w:t>救生圈上的自亮灯相连</w:t>
      </w:r>
      <w:r>
        <w:rPr>
          <w:rFonts w:hint="eastAsia" w:ascii="宋体" w:hAnsi="宋体" w:eastAsia="宋体" w:cs="宋体"/>
          <w:color w:val="FF0000"/>
          <w:kern w:val="0"/>
          <w:sz w:val="21"/>
          <w:szCs w:val="21"/>
          <w:lang w:val="en-US" w:eastAsia="zh-CN" w:bidi="ar"/>
        </w:rPr>
        <w:t>该装置应能自动释放，并启动烟雾信号和与质量不超过</w:t>
      </w:r>
      <w:r>
        <w:rPr>
          <w:rFonts w:hint="eastAsia" w:ascii="Times New Roman" w:hAnsi="Times New Roman" w:eastAsia="宋体" w:cs="Times New Roman"/>
          <w:color w:val="FF0000"/>
          <w:kern w:val="0"/>
          <w:sz w:val="21"/>
          <w:szCs w:val="21"/>
          <w:lang w:val="en-US" w:eastAsia="zh-CN" w:bidi="ar"/>
        </w:rPr>
        <w:t>4kg</w:t>
      </w:r>
      <w:r>
        <w:rPr>
          <w:rFonts w:hint="eastAsia" w:ascii="宋体" w:hAnsi="宋体" w:eastAsia="宋体" w:cs="宋体"/>
          <w:color w:val="FF0000"/>
          <w:kern w:val="0"/>
          <w:sz w:val="21"/>
          <w:szCs w:val="21"/>
          <w:lang w:val="en-US" w:eastAsia="zh-CN" w:bidi="ar"/>
        </w:rPr>
        <w:t>救生圈相连的自亮灯</w:t>
      </w:r>
      <w:r>
        <w:rPr>
          <w:rFonts w:hint="eastAsia" w:ascii="宋体" w:hAnsi="宋体" w:eastAsia="宋体" w:cs="宋体"/>
          <w:kern w:val="0"/>
          <w:sz w:val="21"/>
          <w:szCs w:val="21"/>
          <w:lang w:val="en-US" w:eastAsia="zh-CN" w:bidi="ar"/>
        </w:rPr>
        <w:t>。</w:t>
      </w:r>
      <w:r>
        <w:rPr>
          <w:rFonts w:hint="eastAsia" w:ascii="Times New Roman" w:hAnsi="Times New Roman" w:eastAsia="宋体" w:cs="Times New Roman"/>
          <w:kern w:val="0"/>
          <w:sz w:val="21"/>
          <w:szCs w:val="21"/>
          <w:lang w:val="en-US" w:eastAsia="zh-CN" w:bidi="ar"/>
        </w:rPr>
        <w:t>”</w:t>
      </w:r>
    </w:p>
    <w:p>
      <w:pPr>
        <w:ind w:firstLine="480" w:firstLineChars="200"/>
        <w:rPr>
          <w:rFonts w:hint="eastAsia" w:ascii="楷体" w:hAnsi="楷体" w:eastAsia="楷体" w:cs="楷体"/>
          <w:snapToGrid w:val="0"/>
          <w:color w:val="040AFA"/>
          <w:kern w:val="0"/>
          <w:sz w:val="24"/>
          <w:szCs w:val="24"/>
          <w:lang w:eastAsia="zh-CN"/>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b w:val="0"/>
          <w:kern w:val="0"/>
          <w:highlight w:val="none"/>
          <w:lang w:eastAsia="zh-CN"/>
        </w:rPr>
      </w:pPr>
      <w:bookmarkStart w:id="63" w:name="_Toc14396"/>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rPr>
        <w:fldChar w:fldCharType="begin"/>
      </w:r>
      <w:r>
        <w:rPr>
          <w:rFonts w:hint="eastAsia" w:ascii="Times New Roman" w:hAnsi="Times New Roman" w:cstheme="minorBidi"/>
          <w:bCs w:val="0"/>
          <w:caps w:val="0"/>
          <w:kern w:val="0"/>
          <w:sz w:val="21"/>
          <w:szCs w:val="21"/>
          <w:highlight w:val="none"/>
          <w:lang w:val="en-US"/>
        </w:rPr>
        <w:instrText xml:space="preserve"> = 4 \* ROMAN \* MERGEFORMAT </w:instrText>
      </w:r>
      <w:r>
        <w:rPr>
          <w:rFonts w:hint="eastAsia" w:ascii="Times New Roman" w:hAnsi="Times New Roman" w:cstheme="minorBidi"/>
          <w:bCs w:val="0"/>
          <w:caps w:val="0"/>
          <w:kern w:val="0"/>
          <w:sz w:val="21"/>
          <w:szCs w:val="21"/>
          <w:highlight w:val="none"/>
          <w:lang w:val="en-US"/>
        </w:rPr>
        <w:fldChar w:fldCharType="separate"/>
      </w:r>
      <w:r>
        <w:rPr>
          <w:highlight w:val="none"/>
        </w:rPr>
        <w:t>IV</w:t>
      </w:r>
      <w:r>
        <w:rPr>
          <w:rFonts w:hint="eastAsia" w:ascii="Times New Roman" w:hAnsi="Times New Roman" w:cstheme="minorBidi"/>
          <w:bCs w:val="0"/>
          <w:caps w:val="0"/>
          <w:kern w:val="0"/>
          <w:sz w:val="21"/>
          <w:szCs w:val="21"/>
          <w:highlight w:val="none"/>
          <w:lang w:val="en-US"/>
        </w:rPr>
        <w:fldChar w:fldCharType="end"/>
      </w:r>
      <w:r>
        <w:rPr>
          <w:rFonts w:hint="eastAsia" w:ascii="Times New Roman" w:hAnsi="Times New Roman" w:cstheme="minorBidi"/>
          <w:bCs w:val="0"/>
          <w:caps w:val="0"/>
          <w:kern w:val="0"/>
          <w:sz w:val="21"/>
          <w:szCs w:val="21"/>
          <w:highlight w:val="none"/>
          <w:lang w:val="en-US"/>
        </w:rPr>
        <w:t>章</w:t>
      </w:r>
      <w:r>
        <w:rPr>
          <w:rFonts w:ascii="Times New Roman" w:hAnsi="Times New Roman" w:cstheme="minorBidi"/>
          <w:bCs w:val="0"/>
          <w:caps w:val="0"/>
          <w:kern w:val="0"/>
          <w:sz w:val="21"/>
          <w:szCs w:val="21"/>
          <w:highlight w:val="none"/>
          <w:lang w:val="en-US"/>
        </w:rPr>
        <w:t xml:space="preserve">  </w:t>
      </w:r>
      <w:r>
        <w:rPr>
          <w:rFonts w:hint="eastAsia" w:ascii="Times New Roman" w:hAnsi="Times New Roman" w:cstheme="minorBidi"/>
          <w:bCs w:val="0"/>
          <w:caps w:val="0"/>
          <w:kern w:val="0"/>
          <w:sz w:val="21"/>
          <w:szCs w:val="21"/>
          <w:highlight w:val="none"/>
          <w:lang w:val="en-US" w:eastAsia="zh-CN"/>
        </w:rPr>
        <w:t>救 生 艇 筏</w:t>
      </w:r>
      <w:bookmarkEnd w:id="63"/>
    </w:p>
    <w:p>
      <w:pPr>
        <w:rPr>
          <w:rFonts w:ascii="楷体_GB2312" w:eastAsia="楷体_GB2312"/>
          <w:sz w:val="24"/>
          <w:szCs w:val="24"/>
          <w:highlight w:val="none"/>
        </w:rPr>
      </w:pPr>
    </w:p>
    <w:p>
      <w:pPr>
        <w:ind w:firstLine="422" w:firstLineChars="200"/>
        <w:rPr>
          <w:rFonts w:hint="eastAsia" w:ascii="楷体_GB2312" w:eastAsia="楷体_GB2312"/>
          <w:color w:val="auto"/>
          <w:sz w:val="21"/>
          <w:szCs w:val="21"/>
          <w:highlight w:val="none"/>
          <w:u w:val="none"/>
        </w:rPr>
      </w:pPr>
      <w:r>
        <w:rPr>
          <w:rFonts w:hint="default" w:ascii="Times New Roman" w:hAnsi="Times New Roman" w:cs="Times New Roman"/>
          <w:b/>
          <w:bCs/>
          <w:highlight w:val="none"/>
        </w:rPr>
        <w:t>4.4  救生艇的一般要求</w:t>
      </w:r>
    </w:p>
    <w:p>
      <w:pPr>
        <w:ind w:firstLine="420" w:firstLineChars="200"/>
        <w:rPr>
          <w:color w:val="FF0000"/>
          <w:sz w:val="21"/>
          <w:szCs w:val="21"/>
          <w:highlight w:val="none"/>
          <w:u w:val="single"/>
        </w:rPr>
      </w:pPr>
      <w:r>
        <w:rPr>
          <w:rFonts w:hint="eastAsia" w:ascii="楷体_GB2312" w:eastAsia="楷体_GB2312"/>
          <w:color w:val="auto"/>
          <w:sz w:val="21"/>
          <w:szCs w:val="21"/>
          <w:highlight w:val="none"/>
          <w:u w:val="none"/>
        </w:rPr>
        <w:t>自2024年1月1日起，</w:t>
      </w:r>
      <w:r>
        <w:rPr>
          <w:rFonts w:hint="eastAsia" w:ascii="楷体_GB2312" w:eastAsia="楷体_GB2312"/>
          <w:color w:val="auto"/>
          <w:sz w:val="21"/>
          <w:szCs w:val="21"/>
          <w:highlight w:val="none"/>
          <w:u w:val="none"/>
          <w:lang w:eastAsia="zh-CN"/>
        </w:rPr>
        <w:t>原</w:t>
      </w:r>
      <w:r>
        <w:rPr>
          <w:rFonts w:hint="eastAsia" w:ascii="楷体_GB2312" w:eastAsia="楷体_GB2312"/>
          <w:color w:val="auto"/>
          <w:sz w:val="21"/>
          <w:szCs w:val="21"/>
          <w:highlight w:val="none"/>
          <w:u w:val="none"/>
          <w:lang w:val="en-US" w:eastAsia="zh-CN"/>
        </w:rPr>
        <w:t>4.4.1.3.2</w:t>
      </w:r>
      <w:r>
        <w:rPr>
          <w:rFonts w:hint="eastAsia" w:ascii="楷体_GB2312" w:eastAsia="楷体_GB2312"/>
          <w:color w:val="auto"/>
          <w:sz w:val="21"/>
          <w:szCs w:val="21"/>
          <w:highlight w:val="none"/>
          <w:u w:val="none"/>
          <w:lang w:eastAsia="zh-CN"/>
        </w:rPr>
        <w:t>改为</w:t>
      </w:r>
      <w:r>
        <w:rPr>
          <w:rFonts w:hint="eastAsia" w:ascii="楷体_GB2312" w:eastAsia="楷体_GB2312"/>
          <w:color w:val="auto"/>
          <w:sz w:val="21"/>
          <w:szCs w:val="21"/>
          <w:highlight w:val="none"/>
          <w:u w:val="none"/>
        </w:rPr>
        <w:t>：</w:t>
      </w:r>
    </w:p>
    <w:p>
      <w:pPr>
        <w:pStyle w:val="24"/>
        <w:tabs>
          <w:tab w:val="left" w:pos="984"/>
        </w:tabs>
        <w:ind w:firstLine="420" w:firstLineChars="200"/>
        <w:rPr>
          <w:rFonts w:hint="eastAsia" w:ascii="Times New Roman" w:hAnsi="Times New Roman" w:cs="Times New Roman"/>
          <w:color w:val="auto"/>
          <w:kern w:val="0"/>
          <w:szCs w:val="21"/>
          <w:highlight w:val="none"/>
          <w:u w:val="none"/>
          <w:lang w:eastAsia="zh-CN"/>
        </w:rPr>
      </w:pPr>
      <w:r>
        <w:rPr>
          <w:rFonts w:hint="eastAsia" w:ascii="Times New Roman" w:hAnsi="Times New Roman" w:cs="Times New Roman"/>
          <w:color w:val="auto"/>
          <w:kern w:val="0"/>
          <w:szCs w:val="21"/>
          <w:highlight w:val="none"/>
          <w:u w:val="none"/>
          <w:lang w:val="en-US" w:eastAsia="zh-CN"/>
        </w:rPr>
        <w:t>“</w:t>
      </w:r>
      <w:r>
        <w:rPr>
          <w:rFonts w:hint="eastAsia" w:ascii="Times New Roman" w:hAnsi="Times New Roman" w:cs="Times New Roman"/>
          <w:color w:val="auto"/>
          <w:kern w:val="0"/>
          <w:szCs w:val="21"/>
          <w:highlight w:val="none"/>
          <w:u w:val="none"/>
        </w:rPr>
        <w:t xml:space="preserve">.2  </w:t>
      </w:r>
      <w:r>
        <w:rPr>
          <w:rFonts w:hint="eastAsia" w:ascii="Times New Roman" w:hAnsi="Times New Roman" w:cs="Times New Roman"/>
          <w:color w:val="FF0000"/>
          <w:kern w:val="0"/>
          <w:szCs w:val="21"/>
          <w:highlight w:val="none"/>
          <w:u w:val="single"/>
        </w:rPr>
        <w:t>除自由降落救生艇外，</w:t>
      </w:r>
      <w:r>
        <w:rPr>
          <w:rFonts w:hint="eastAsia" w:ascii="Times New Roman" w:hAnsi="Times New Roman" w:cs="Times New Roman"/>
          <w:color w:val="auto"/>
          <w:kern w:val="0"/>
          <w:szCs w:val="21"/>
          <w:highlight w:val="none"/>
          <w:u w:val="none"/>
        </w:rPr>
        <w:t>当船舶在平静水中以5 kn航速前进时能降落水中并被拖带。</w:t>
      </w:r>
      <w:r>
        <w:rPr>
          <w:rFonts w:hint="eastAsia" w:ascii="Times New Roman" w:hAnsi="Times New Roman" w:cs="Times New Roman"/>
          <w:color w:val="auto"/>
          <w:kern w:val="0"/>
          <w:szCs w:val="21"/>
          <w:highlight w:val="none"/>
          <w:u w:val="none"/>
          <w:lang w:eastAsia="zh-CN"/>
        </w:rPr>
        <w:t>”</w:t>
      </w:r>
    </w:p>
    <w:p>
      <w:pPr>
        <w:ind w:firstLine="420" w:firstLineChars="200"/>
        <w:rPr>
          <w:rFonts w:hint="eastAsia" w:ascii="楷体_GB2312" w:eastAsia="楷体_GB2312"/>
          <w:color w:val="auto"/>
          <w:sz w:val="21"/>
          <w:szCs w:val="21"/>
          <w:highlight w:val="none"/>
          <w:u w:val="none"/>
        </w:rPr>
      </w:pPr>
      <w:r>
        <w:rPr>
          <w:rFonts w:hint="eastAsia" w:ascii="楷体_GB2312" w:eastAsia="楷体_GB2312"/>
          <w:color w:val="auto"/>
          <w:sz w:val="21"/>
          <w:szCs w:val="21"/>
          <w:highlight w:val="none"/>
          <w:u w:val="none"/>
        </w:rPr>
        <w:t>自2024年1月1日起，</w:t>
      </w:r>
      <w:r>
        <w:rPr>
          <w:rFonts w:hint="eastAsia" w:ascii="楷体_GB2312" w:eastAsia="楷体_GB2312"/>
          <w:color w:val="auto"/>
          <w:sz w:val="21"/>
          <w:szCs w:val="21"/>
          <w:highlight w:val="none"/>
          <w:u w:val="none"/>
          <w:lang w:eastAsia="zh-CN"/>
        </w:rPr>
        <w:t>原</w:t>
      </w:r>
      <w:r>
        <w:rPr>
          <w:rFonts w:hint="eastAsia" w:ascii="楷体_GB2312" w:eastAsia="楷体_GB2312"/>
          <w:color w:val="auto"/>
          <w:sz w:val="21"/>
          <w:szCs w:val="21"/>
          <w:highlight w:val="none"/>
          <w:u w:val="none"/>
        </w:rPr>
        <w:t>4.4.8.1</w:t>
      </w:r>
      <w:r>
        <w:rPr>
          <w:rFonts w:hint="eastAsia" w:ascii="楷体_GB2312" w:eastAsia="楷体_GB2312"/>
          <w:color w:val="auto"/>
          <w:sz w:val="21"/>
          <w:szCs w:val="21"/>
          <w:highlight w:val="none"/>
          <w:u w:val="none"/>
          <w:lang w:eastAsia="zh-CN"/>
        </w:rPr>
        <w:t>改为</w:t>
      </w:r>
      <w:r>
        <w:rPr>
          <w:rFonts w:hint="eastAsia" w:ascii="楷体_GB2312" w:eastAsia="楷体_GB2312"/>
          <w:color w:val="auto"/>
          <w:sz w:val="21"/>
          <w:szCs w:val="21"/>
          <w:highlight w:val="none"/>
          <w:u w:val="none"/>
        </w:rPr>
        <w:t>：</w:t>
      </w:r>
    </w:p>
    <w:p>
      <w:pPr>
        <w:pStyle w:val="24"/>
        <w:tabs>
          <w:tab w:val="left" w:pos="984"/>
        </w:tabs>
        <w:ind w:firstLine="420" w:firstLineChars="200"/>
        <w:rPr>
          <w:rFonts w:hint="default" w:ascii="Times New Roman" w:hAnsi="Times New Roman" w:cs="Times New Roman"/>
          <w:color w:val="auto"/>
          <w:kern w:val="0"/>
          <w:szCs w:val="21"/>
          <w:highlight w:val="none"/>
          <w:u w:val="none"/>
        </w:rPr>
      </w:pPr>
      <w:r>
        <w:rPr>
          <w:rFonts w:hint="default" w:ascii="Times New Roman" w:hAnsi="Times New Roman" w:cs="Times New Roman"/>
          <w:color w:val="auto"/>
          <w:kern w:val="0"/>
          <w:szCs w:val="21"/>
          <w:highlight w:val="none"/>
          <w:u w:val="none"/>
        </w:rPr>
        <w:t xml:space="preserve">“.1  </w:t>
      </w:r>
      <w:r>
        <w:rPr>
          <w:rFonts w:hint="default" w:ascii="Times New Roman" w:hAnsi="Times New Roman" w:cs="Times New Roman"/>
          <w:color w:val="FF0000"/>
          <w:kern w:val="0"/>
          <w:szCs w:val="21"/>
          <w:highlight w:val="none"/>
          <w:u w:val="single"/>
        </w:rPr>
        <w:t>除设有两套独立推进系统的救生艇（包括两个独立的艇机、轴系、燃油舱、管系和任何其他相关辅助设备）和自由降落救生艇外，</w:t>
      </w:r>
      <w:r>
        <w:rPr>
          <w:rFonts w:hint="default" w:ascii="Times New Roman" w:hAnsi="Times New Roman" w:cs="Times New Roman"/>
          <w:color w:val="auto"/>
          <w:kern w:val="0"/>
          <w:szCs w:val="21"/>
          <w:highlight w:val="none"/>
          <w:u w:val="none"/>
        </w:rPr>
        <w:t>足够数量的可浮桨，以供在平静海面划桨前进。所配备的每支桨应配齐桨架、桨叉或等效装置。桨架或桨叉应以短绳或链条系于艇上；”</w:t>
      </w:r>
    </w:p>
    <w:p>
      <w:pPr>
        <w:ind w:firstLine="480" w:firstLineChars="200"/>
        <w:rPr>
          <w:rFonts w:ascii="楷体_GB2312" w:eastAsia="楷体_GB2312"/>
          <w:strike/>
          <w:sz w:val="24"/>
          <w:szCs w:val="24"/>
          <w:highlight w:val="none"/>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cstheme="minorBidi"/>
          <w:bCs w:val="0"/>
          <w:caps w:val="0"/>
          <w:kern w:val="0"/>
          <w:sz w:val="21"/>
          <w:szCs w:val="21"/>
          <w:highlight w:val="none"/>
          <w:lang w:val="en-US" w:eastAsia="zh-CN"/>
        </w:rPr>
      </w:pPr>
      <w:bookmarkStart w:id="64" w:name="_Toc10937"/>
      <w:r>
        <w:rPr>
          <w:rFonts w:hint="eastAsia" w:ascii="Times New Roman" w:hAnsi="Times New Roman" w:cstheme="minorBidi"/>
          <w:bCs w:val="0"/>
          <w:caps w:val="0"/>
          <w:kern w:val="0"/>
          <w:sz w:val="21"/>
          <w:szCs w:val="21"/>
          <w:highlight w:val="none"/>
          <w:lang w:val="en-US" w:eastAsia="zh-CN"/>
        </w:rPr>
        <w:t>第VI章   降落与登乘设备</w:t>
      </w:r>
      <w:bookmarkEnd w:id="64"/>
    </w:p>
    <w:p>
      <w:pPr>
        <w:keepNext w:val="0"/>
        <w:keepLines w:val="0"/>
        <w:pageBreakBefore w:val="0"/>
        <w:widowControl w:val="0"/>
        <w:kinsoku/>
        <w:wordWrap/>
        <w:overflowPunct/>
        <w:topLinePunct w:val="0"/>
        <w:autoSpaceDE/>
        <w:autoSpaceDN/>
        <w:bidi w:val="0"/>
        <w:adjustRightInd/>
        <w:snapToGrid/>
        <w:ind w:firstLine="422" w:firstLineChars="200"/>
        <w:textAlignment w:val="auto"/>
        <w:outlineLvl w:val="9"/>
        <w:rPr>
          <w:rFonts w:hint="default" w:ascii="Times New Roman" w:hAnsi="Times New Roman" w:cs="Times New Roman"/>
          <w:b/>
          <w:bCs/>
          <w:highlight w:val="none"/>
        </w:rPr>
      </w:pPr>
      <w:r>
        <w:rPr>
          <w:rFonts w:hint="default" w:ascii="Times New Roman" w:hAnsi="Times New Roman" w:cs="Times New Roman"/>
          <w:b/>
          <w:bCs/>
          <w:highlight w:val="none"/>
        </w:rPr>
        <w:t>6.1  降落与登乘设备</w:t>
      </w:r>
    </w:p>
    <w:p>
      <w:pPr>
        <w:rPr>
          <w:rFonts w:ascii="楷体_GB2312" w:eastAsia="楷体_GB2312"/>
          <w:sz w:val="24"/>
          <w:szCs w:val="24"/>
          <w:highlight w:val="none"/>
        </w:rPr>
      </w:pPr>
    </w:p>
    <w:p>
      <w:pPr>
        <w:ind w:firstLine="420" w:firstLineChars="200"/>
        <w:rPr>
          <w:rFonts w:hint="eastAsia" w:ascii="楷体_GB2312" w:eastAsia="楷体_GB2312"/>
          <w:color w:val="auto"/>
          <w:sz w:val="21"/>
          <w:szCs w:val="21"/>
          <w:highlight w:val="none"/>
          <w:u w:val="none"/>
        </w:rPr>
      </w:pPr>
      <w:r>
        <w:rPr>
          <w:rFonts w:hint="eastAsia" w:ascii="楷体_GB2312" w:eastAsia="楷体_GB2312"/>
          <w:color w:val="auto"/>
          <w:sz w:val="21"/>
          <w:szCs w:val="21"/>
          <w:highlight w:val="none"/>
          <w:u w:val="none"/>
        </w:rPr>
        <w:t>对2024年1月1日或以后起安装在船上的救助艇，</w:t>
      </w:r>
      <w:r>
        <w:rPr>
          <w:rFonts w:hint="eastAsia" w:ascii="楷体_GB2312" w:eastAsia="楷体_GB2312"/>
          <w:color w:val="auto"/>
          <w:sz w:val="21"/>
          <w:szCs w:val="21"/>
          <w:highlight w:val="none"/>
          <w:u w:val="none"/>
          <w:lang w:eastAsia="zh-CN"/>
        </w:rPr>
        <w:t>原</w:t>
      </w:r>
      <w:r>
        <w:rPr>
          <w:rFonts w:hint="eastAsia" w:ascii="楷体_GB2312" w:eastAsia="楷体_GB2312"/>
          <w:color w:val="auto"/>
          <w:sz w:val="21"/>
          <w:szCs w:val="21"/>
          <w:highlight w:val="none"/>
          <w:u w:val="none"/>
        </w:rPr>
        <w:t>6.1.1.3</w:t>
      </w:r>
      <w:r>
        <w:rPr>
          <w:rFonts w:hint="eastAsia" w:ascii="楷体_GB2312" w:eastAsia="楷体_GB2312"/>
          <w:color w:val="auto"/>
          <w:sz w:val="21"/>
          <w:szCs w:val="21"/>
          <w:highlight w:val="none"/>
          <w:u w:val="none"/>
          <w:lang w:val="en-US" w:eastAsia="zh-CN"/>
        </w:rPr>
        <w:t>末尾新增</w:t>
      </w:r>
      <w:r>
        <w:rPr>
          <w:rFonts w:hint="eastAsia" w:ascii="楷体_GB2312" w:eastAsia="楷体_GB2312"/>
          <w:color w:val="auto"/>
          <w:sz w:val="21"/>
          <w:szCs w:val="21"/>
          <w:highlight w:val="none"/>
          <w:u w:val="none"/>
        </w:rPr>
        <w:t>以下规定：</w:t>
      </w:r>
    </w:p>
    <w:p>
      <w:pPr>
        <w:spacing w:after="156" w:afterLines="50"/>
        <w:ind w:firstLine="420" w:firstLineChars="200"/>
        <w:rPr>
          <w:rFonts w:hint="default" w:ascii="Times New Roman" w:hAnsi="Times New Roman" w:cs="Times New Roman"/>
          <w:color w:val="FF0000"/>
          <w:kern w:val="0"/>
          <w:szCs w:val="21"/>
          <w:highlight w:val="none"/>
          <w:u w:val="single"/>
        </w:rPr>
      </w:pPr>
      <w:r>
        <w:rPr>
          <w:rFonts w:hint="default" w:ascii="Times New Roman" w:hAnsi="Times New Roman" w:cs="Times New Roman"/>
          <w:color w:val="auto"/>
          <w:kern w:val="0"/>
          <w:szCs w:val="21"/>
          <w:highlight w:val="none"/>
          <w:u w:val="none"/>
          <w:lang w:eastAsia="zh-CN"/>
        </w:rPr>
        <w:t>“</w:t>
      </w:r>
      <w:r>
        <w:rPr>
          <w:rFonts w:hint="default" w:ascii="Times New Roman" w:hAnsi="Times New Roman" w:cs="Times New Roman"/>
          <w:color w:val="FF0000"/>
          <w:kern w:val="0"/>
          <w:szCs w:val="21"/>
          <w:highlight w:val="none"/>
          <w:u w:val="single"/>
        </w:rPr>
        <w:t>尽管有上述规定，在配备救助艇的货船上，且该救助艇不是该船救生艇筏之一，并在装备齐全状态下（装有艇机，但无艇员）重量不超过700 kg，满足下列条件下，该救助艇的降落设备不必设有储存机械动力：</w:t>
      </w:r>
    </w:p>
    <w:p>
      <w:pPr>
        <w:ind w:firstLine="420" w:firstLineChars="200"/>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.1  单人可将救助艇从存放位置手动提升并向外转至登乘位置；</w:t>
      </w:r>
    </w:p>
    <w:p>
      <w:pPr>
        <w:ind w:firstLine="420" w:firstLineChars="200"/>
        <w:rPr>
          <w:rFonts w:hint="default" w:ascii="Times New Roman" w:hAnsi="Times New Roman" w:cs="Times New Roman"/>
          <w:color w:val="FF0000"/>
          <w:highlight w:val="none"/>
          <w:u w:val="single"/>
        </w:rPr>
      </w:pPr>
      <w:r>
        <w:rPr>
          <w:rFonts w:hint="default" w:ascii="Times New Roman" w:hAnsi="Times New Roman" w:cs="Times New Roman"/>
          <w:color w:val="FF0000"/>
          <w:highlight w:val="none"/>
          <w:u w:val="single"/>
        </w:rPr>
        <w:t>.2  在最大曲柄半径为350mm时，曲柄上的操作力不超过160 N；和</w:t>
      </w:r>
    </w:p>
    <w:p>
      <w:pPr>
        <w:ind w:left="840" w:leftChars="200" w:hanging="420" w:hangingChars="200"/>
        <w:rPr>
          <w:rFonts w:hint="default" w:ascii="Times New Roman" w:hAnsi="Times New Roman" w:eastAsia="宋体" w:cs="Times New Roman"/>
          <w:color w:val="auto"/>
          <w:highlight w:val="none"/>
          <w:u w:val="none"/>
          <w:lang w:eastAsia="zh-CN"/>
        </w:rPr>
      </w:pPr>
      <w:r>
        <w:rPr>
          <w:rFonts w:hint="default" w:ascii="Times New Roman" w:hAnsi="Times New Roman" w:cs="Times New Roman"/>
          <w:color w:val="FF0000"/>
          <w:highlight w:val="none"/>
          <w:u w:val="single"/>
        </w:rPr>
        <w:t>.3  设有具有足够强度的装置（诸如拉紧索），以将救助艇贴靠并系留在船舷便于人员能安全登乘。</w:t>
      </w:r>
      <w:r>
        <w:rPr>
          <w:rFonts w:hint="default" w:ascii="Times New Roman" w:hAnsi="Times New Roman" w:cs="Times New Roman"/>
          <w:color w:val="auto"/>
          <w:highlight w:val="none"/>
          <w:u w:val="none"/>
          <w:lang w:eastAsia="zh-CN"/>
        </w:rPr>
        <w:t>”</w:t>
      </w:r>
    </w:p>
    <w:p>
      <w:pPr>
        <w:ind w:firstLine="420" w:firstLineChars="200"/>
        <w:jc w:val="left"/>
        <w:rPr>
          <w:rFonts w:ascii="宋体" w:hAnsi="宋体"/>
          <w:szCs w:val="24"/>
          <w:highlight w:val="none"/>
        </w:rPr>
      </w:pPr>
      <w:r>
        <w:rPr>
          <w:rFonts w:asciiTheme="minorEastAsia" w:hAnsiTheme="minorEastAsia"/>
          <w:kern w:val="0"/>
          <w:highlight w:val="none"/>
        </w:rPr>
        <w:br w:type="page"/>
      </w:r>
      <w:bookmarkStart w:id="65" w:name="OLE_LINK12"/>
      <w:bookmarkStart w:id="66" w:name="OLE_LINK13"/>
    </w:p>
    <w:p>
      <w:pPr>
        <w:pStyle w:val="2"/>
        <w:spacing w:after="120"/>
        <w:ind w:left="0"/>
        <w:jc w:val="center"/>
        <w:rPr>
          <w:rFonts w:cstheme="minorBidi"/>
          <w:bCs w:val="0"/>
          <w:caps w:val="0"/>
          <w:kern w:val="2"/>
          <w:sz w:val="32"/>
          <w:highlight w:val="none"/>
          <w:lang w:val="en-US"/>
        </w:rPr>
      </w:pPr>
      <w:bookmarkStart w:id="67" w:name="_Toc6184"/>
      <w:r>
        <w:rPr>
          <w:rFonts w:cstheme="minorBidi"/>
          <w:bCs w:val="0"/>
          <w:caps w:val="0"/>
          <w:kern w:val="2"/>
          <w:sz w:val="32"/>
          <w:highlight w:val="none"/>
          <w:lang w:val="en-US"/>
        </w:rPr>
        <w:t>第</w:t>
      </w:r>
      <w:r>
        <w:rPr>
          <w:rFonts w:hint="eastAsia" w:cstheme="minorBidi"/>
          <w:bCs w:val="0"/>
          <w:caps w:val="0"/>
          <w:kern w:val="2"/>
          <w:sz w:val="32"/>
          <w:highlight w:val="none"/>
          <w:lang w:val="en-US"/>
        </w:rPr>
        <w:t>4</w:t>
      </w:r>
      <w:r>
        <w:rPr>
          <w:rFonts w:cstheme="minorBidi"/>
          <w:bCs w:val="0"/>
          <w:caps w:val="0"/>
          <w:kern w:val="2"/>
          <w:sz w:val="32"/>
          <w:highlight w:val="none"/>
          <w:lang w:val="en-US"/>
        </w:rPr>
        <w:t>章</w:t>
      </w:r>
      <w:r>
        <w:rPr>
          <w:rFonts w:hint="eastAsia" w:cstheme="minorBidi"/>
          <w:bCs w:val="0"/>
          <w:caps w:val="0"/>
          <w:kern w:val="2"/>
          <w:sz w:val="32"/>
          <w:highlight w:val="none"/>
          <w:lang w:val="en-US"/>
        </w:rPr>
        <w:t>　无线电通信设备（SOLAS公约第IV章）</w:t>
      </w:r>
      <w:bookmarkEnd w:id="67"/>
    </w:p>
    <w:p>
      <w:pPr>
        <w:pStyle w:val="3"/>
        <w:ind w:left="0"/>
        <w:jc w:val="center"/>
        <w:rPr>
          <w:rFonts w:hint="default" w:ascii="Times New Roman" w:hAnsi="Times New Roman" w:cs="Times New Roman" w:eastAsiaTheme="minorEastAsia"/>
          <w:bCs w:val="0"/>
          <w:caps w:val="0"/>
          <w:kern w:val="0"/>
          <w:sz w:val="21"/>
          <w:szCs w:val="21"/>
          <w:highlight w:val="none"/>
          <w:lang w:val="en-US" w:eastAsia="zh-CN"/>
        </w:rPr>
      </w:pPr>
      <w:bookmarkStart w:id="68" w:name="_Toc23833"/>
      <w:r>
        <w:rPr>
          <w:rFonts w:hint="default" w:ascii="Times New Roman" w:hAnsi="Times New Roman" w:cs="Times New Roman"/>
          <w:bCs w:val="0"/>
          <w:caps w:val="0"/>
          <w:kern w:val="0"/>
          <w:sz w:val="21"/>
          <w:szCs w:val="21"/>
          <w:highlight w:val="none"/>
          <w:lang w:val="en-US" w:eastAsia="zh-CN"/>
        </w:rPr>
        <w:t>A部分  通  则</w:t>
      </w:r>
      <w:bookmarkEnd w:id="68"/>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69" w:name="_Toc4797"/>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2</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术语和定义</w:t>
      </w:r>
      <w:bookmarkEnd w:id="69"/>
    </w:p>
    <w:p>
      <w:pPr>
        <w:rPr>
          <w:b/>
          <w:highlight w:val="none"/>
        </w:rPr>
      </w:pP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w:t>
      </w:r>
      <w:r>
        <w:rPr>
          <w:rFonts w:hint="eastAsia" w:ascii="楷体" w:hAnsi="楷体" w:eastAsia="楷体"/>
          <w:szCs w:val="22"/>
          <w:highlight w:val="none"/>
          <w:lang w:eastAsia="zh-CN"/>
        </w:rPr>
        <w:t>1中.16改为如下并新增.17如下：</w:t>
      </w:r>
    </w:p>
    <w:p>
      <w:pPr>
        <w:keepNext w:val="0"/>
        <w:keepLines w:val="0"/>
        <w:pageBreakBefore w:val="0"/>
        <w:kinsoku/>
        <w:wordWrap/>
        <w:overflowPunct/>
        <w:topLinePunct w:val="0"/>
        <w:autoSpaceDE/>
        <w:autoSpaceDN/>
        <w:bidi w:val="0"/>
        <w:adjustRightInd/>
        <w:snapToGrid/>
        <w:textAlignment w:val="auto"/>
        <w:rPr>
          <w:rFonts w:hint="default" w:ascii="Times New Roman" w:hAnsi="Times New Roman" w:cs="Times New Roman"/>
          <w:color w:val="auto"/>
          <w:highlight w:val="none"/>
          <w:u w:val="none"/>
        </w:rPr>
      </w:pPr>
      <w:r>
        <w:rPr>
          <w:rFonts w:hint="eastAsia" w:ascii="楷体" w:hAnsi="楷体" w:eastAsia="楷体"/>
          <w:color w:val="auto"/>
          <w:szCs w:val="22"/>
          <w:highlight w:val="none"/>
          <w:u w:val="none"/>
          <w:lang w:eastAsia="zh-CN"/>
        </w:rPr>
        <w:t>“</w:t>
      </w:r>
      <w:r>
        <w:rPr>
          <w:rFonts w:hint="eastAsia" w:ascii="楷体" w:hAnsi="楷体" w:eastAsia="楷体"/>
          <w:color w:val="auto"/>
          <w:szCs w:val="22"/>
          <w:highlight w:val="none"/>
          <w:u w:val="none"/>
          <w:lang w:val="en-US" w:eastAsia="zh-CN"/>
        </w:rPr>
        <w:t xml:space="preserve"> </w:t>
      </w:r>
      <w:r>
        <w:rPr>
          <w:rFonts w:hint="default" w:ascii="Times New Roman" w:hAnsi="Times New Roman" w:cs="Times New Roman"/>
          <w:b/>
          <w:color w:val="auto"/>
          <w:highlight w:val="none"/>
          <w:u w:val="none"/>
        </w:rPr>
        <w:t>.16</w:t>
      </w:r>
      <w:r>
        <w:rPr>
          <w:rFonts w:hint="default" w:ascii="Times New Roman" w:hAnsi="Times New Roman" w:cs="Times New Roman"/>
          <w:color w:val="auto"/>
          <w:highlight w:val="none"/>
          <w:u w:val="none"/>
        </w:rPr>
        <w:t xml:space="preserve"> </w:t>
      </w:r>
      <w:r>
        <w:rPr>
          <w:rFonts w:hint="default" w:ascii="Times New Roman" w:hAnsi="Times New Roman" w:cs="Times New Roman"/>
          <w:b/>
          <w:iCs/>
          <w:color w:val="auto"/>
          <w:highlight w:val="none"/>
          <w:u w:val="none"/>
        </w:rPr>
        <w:t>全球海上遇险和安全系统（GMDSS）标识：</w:t>
      </w:r>
      <w:r>
        <w:rPr>
          <w:rFonts w:hint="default" w:ascii="Times New Roman" w:hAnsi="Times New Roman" w:cs="Times New Roman"/>
          <w:color w:val="auto"/>
          <w:highlight w:val="none"/>
          <w:u w:val="none"/>
        </w:rPr>
        <w:t>系指可由船舶设备发送并用于识别船舶的海上移动业务识别码、船舶呼号、</w:t>
      </w:r>
      <w:r>
        <w:rPr>
          <w:rFonts w:hint="default" w:ascii="Times New Roman" w:hAnsi="Times New Roman" w:cs="Times New Roman"/>
          <w:strike/>
          <w:dstrike w:val="0"/>
          <w:color w:val="FF0000"/>
          <w:highlight w:val="none"/>
        </w:rPr>
        <w:t>Inmarsat识别码</w:t>
      </w:r>
      <w:r>
        <w:rPr>
          <w:rFonts w:hint="eastAsia" w:ascii="Times New Roman" w:hAnsi="Times New Roman" w:cs="Times New Roman"/>
          <w:color w:val="FF0000"/>
          <w:highlight w:val="none"/>
          <w:u w:val="single"/>
          <w:lang w:eastAsia="zh-CN"/>
        </w:rPr>
        <w:t>认可的移动卫星业务识别码</w:t>
      </w:r>
      <w:r>
        <w:rPr>
          <w:rFonts w:hint="default" w:ascii="Times New Roman" w:hAnsi="Times New Roman" w:cs="Times New Roman"/>
          <w:color w:val="auto"/>
          <w:highlight w:val="none"/>
          <w:u w:val="none"/>
        </w:rPr>
        <w:t>和系列号识别码。</w:t>
      </w:r>
    </w:p>
    <w:p>
      <w:pPr>
        <w:keepNext w:val="0"/>
        <w:keepLines w:val="0"/>
        <w:pageBreakBefore w:val="0"/>
        <w:widowControl/>
        <w:suppressLineNumbers w:val="0"/>
        <w:tabs>
          <w:tab w:val="left" w:pos="840"/>
        </w:tabs>
        <w:kinsoku/>
        <w:wordWrap/>
        <w:overflowPunct/>
        <w:topLinePunct w:val="0"/>
        <w:autoSpaceDE/>
        <w:autoSpaceDN/>
        <w:bidi w:val="0"/>
        <w:adjustRightInd/>
        <w:snapToGrid/>
        <w:ind w:firstLine="422" w:firstLineChars="200"/>
        <w:jc w:val="left"/>
        <w:textAlignment w:val="auto"/>
        <w:rPr>
          <w:color w:val="FF0000"/>
          <w:highlight w:val="none"/>
          <w:u w:val="single"/>
        </w:rPr>
      </w:pPr>
      <w:r>
        <w:rPr>
          <w:rFonts w:hint="default" w:ascii="Times New Roman" w:hAnsi="Times New Roman" w:eastAsia="宋体" w:cs="Times New Roman"/>
          <w:b/>
          <w:bCs w:val="0"/>
          <w:color w:val="FF0000"/>
          <w:kern w:val="2"/>
          <w:sz w:val="21"/>
          <w:szCs w:val="21"/>
          <w:highlight w:val="none"/>
          <w:u w:val="single"/>
          <w:lang w:val="en-US" w:eastAsia="zh-CN" w:bidi="ar-SA"/>
        </w:rPr>
        <w:t>.17</w:t>
      </w:r>
      <w:r>
        <w:rPr>
          <w:rFonts w:hint="default" w:ascii="Times New Roman" w:hAnsi="Times New Roman" w:eastAsia="宋体" w:cs="Times New Roman"/>
          <w:b w:val="0"/>
          <w:bCs/>
          <w:color w:val="FF0000"/>
          <w:kern w:val="0"/>
          <w:sz w:val="21"/>
          <w:szCs w:val="21"/>
          <w:highlight w:val="none"/>
          <w:u w:val="single"/>
          <w:lang w:val="en-US" w:eastAsia="zh-CN" w:bidi="ar"/>
        </w:rPr>
        <w:t xml:space="preserve"> </w:t>
      </w:r>
      <w:r>
        <w:rPr>
          <w:rFonts w:hint="eastAsia" w:ascii="宋体" w:hAnsi="宋体" w:eastAsia="宋体" w:cs="宋体"/>
          <w:b/>
          <w:bCs w:val="0"/>
          <w:color w:val="FF0000"/>
          <w:kern w:val="0"/>
          <w:sz w:val="21"/>
          <w:szCs w:val="21"/>
          <w:highlight w:val="none"/>
          <w:u w:val="single"/>
          <w:lang w:val="en-US" w:eastAsia="zh-CN" w:bidi="ar"/>
        </w:rPr>
        <w:t>认可的移动卫星业务</w:t>
      </w:r>
      <w:r>
        <w:rPr>
          <w:rFonts w:hint="eastAsia" w:ascii="宋体" w:hAnsi="宋体" w:eastAsia="宋体" w:cs="宋体"/>
          <w:b w:val="0"/>
          <w:bCs/>
          <w:color w:val="FF0000"/>
          <w:kern w:val="0"/>
          <w:sz w:val="21"/>
          <w:szCs w:val="21"/>
          <w:highlight w:val="none"/>
          <w:u w:val="single"/>
          <w:lang w:val="en-US" w:eastAsia="zh-CN" w:bidi="ar"/>
        </w:rPr>
        <w:t>系指通过卫星系统工作并经本组织认可，在全球海上遇险和</w:t>
      </w:r>
      <w:r>
        <w:rPr>
          <w:rFonts w:hint="eastAsia" w:ascii="宋体" w:hAnsi="宋体" w:eastAsia="宋体" w:cs="宋体"/>
          <w:color w:val="FF0000"/>
          <w:kern w:val="0"/>
          <w:sz w:val="21"/>
          <w:szCs w:val="21"/>
          <w:highlight w:val="none"/>
          <w:u w:val="single"/>
          <w:lang w:val="en-US" w:eastAsia="zh-CN" w:bidi="ar"/>
        </w:rPr>
        <w:t>安全系统（</w:t>
      </w:r>
      <w:r>
        <w:rPr>
          <w:rFonts w:hint="default" w:ascii="Times New Roman" w:hAnsi="Times New Roman" w:eastAsia="宋体" w:cs="Times New Roman"/>
          <w:color w:val="FF0000"/>
          <w:kern w:val="0"/>
          <w:sz w:val="21"/>
          <w:szCs w:val="21"/>
          <w:highlight w:val="none"/>
          <w:u w:val="single"/>
          <w:lang w:val="en-US" w:eastAsia="zh-CN" w:bidi="ar"/>
        </w:rPr>
        <w:t>GMDSS</w:t>
      </w:r>
      <w:r>
        <w:rPr>
          <w:rFonts w:hint="eastAsia" w:ascii="宋体" w:hAnsi="宋体" w:eastAsia="宋体" w:cs="宋体"/>
          <w:color w:val="FF0000"/>
          <w:kern w:val="0"/>
          <w:sz w:val="21"/>
          <w:szCs w:val="21"/>
          <w:highlight w:val="none"/>
          <w:u w:val="single"/>
          <w:lang w:val="en-US" w:eastAsia="zh-CN" w:bidi="ar"/>
        </w:rPr>
        <w:t>）中使用的任何业务。</w:t>
      </w:r>
      <w:r>
        <w:rPr>
          <w:rFonts w:hint="eastAsia" w:ascii="宋体" w:hAnsi="宋体" w:eastAsia="宋体" w:cs="宋体"/>
          <w:color w:val="auto"/>
          <w:kern w:val="0"/>
          <w:sz w:val="21"/>
          <w:szCs w:val="21"/>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ind w:left="0"/>
        <w:jc w:val="center"/>
        <w:textAlignment w:val="auto"/>
        <w:outlineLvl w:val="9"/>
        <w:rPr>
          <w:rFonts w:hint="eastAsia" w:ascii="Times New Roman" w:hAnsi="Times New Roman" w:cstheme="minorBidi"/>
          <w:bCs w:val="0"/>
          <w:caps w:val="0"/>
          <w:kern w:val="0"/>
          <w:sz w:val="21"/>
          <w:szCs w:val="21"/>
          <w:highlight w:val="none"/>
          <w:lang w:val="en-US" w:eastAsia="zh-CN"/>
        </w:rPr>
      </w:pPr>
    </w:p>
    <w:p>
      <w:pPr>
        <w:pStyle w:val="3"/>
        <w:ind w:left="0"/>
        <w:jc w:val="center"/>
        <w:rPr>
          <w:rFonts w:hint="default" w:ascii="Times New Roman" w:hAnsi="Times New Roman" w:cs="Times New Roman" w:eastAsiaTheme="minorEastAsia"/>
          <w:bCs w:val="0"/>
          <w:caps w:val="0"/>
          <w:kern w:val="0"/>
          <w:sz w:val="21"/>
          <w:szCs w:val="21"/>
          <w:highlight w:val="none"/>
          <w:lang w:val="en-US" w:eastAsia="zh-CN"/>
        </w:rPr>
      </w:pPr>
      <w:bookmarkStart w:id="70" w:name="_Toc8151"/>
      <w:r>
        <w:rPr>
          <w:rFonts w:hint="default" w:ascii="Times New Roman" w:hAnsi="Times New Roman" w:cs="Times New Roman"/>
          <w:bCs w:val="0"/>
          <w:caps w:val="0"/>
          <w:kern w:val="0"/>
          <w:sz w:val="21"/>
          <w:szCs w:val="21"/>
          <w:highlight w:val="none"/>
          <w:lang w:val="en-US" w:eastAsia="zh-CN"/>
        </w:rPr>
        <w:t>C部分  船 舶 要 求</w:t>
      </w:r>
      <w:bookmarkEnd w:id="70"/>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71" w:name="_Toc31779"/>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7</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无线电设备：通则</w:t>
      </w:r>
      <w:bookmarkEnd w:id="71"/>
    </w:p>
    <w:p>
      <w:pPr>
        <w:rPr>
          <w:b/>
          <w:highlight w:val="none"/>
        </w:rPr>
      </w:pP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w:t>
      </w:r>
      <w:r>
        <w:rPr>
          <w:rFonts w:hint="eastAsia" w:ascii="楷体" w:hAnsi="楷体" w:eastAsia="楷体"/>
          <w:szCs w:val="22"/>
          <w:highlight w:val="none"/>
          <w:lang w:eastAsia="zh-CN"/>
        </w:rPr>
        <w:t>1中.</w:t>
      </w:r>
      <w:r>
        <w:rPr>
          <w:rFonts w:hint="eastAsia" w:ascii="楷体" w:hAnsi="楷体" w:eastAsia="楷体"/>
          <w:szCs w:val="22"/>
          <w:highlight w:val="none"/>
          <w:lang w:val="en-US" w:eastAsia="zh-CN"/>
        </w:rPr>
        <w:t>5</w:t>
      </w:r>
      <w:r>
        <w:rPr>
          <w:rFonts w:hint="eastAsia" w:ascii="楷体" w:hAnsi="楷体" w:eastAsia="楷体"/>
          <w:szCs w:val="22"/>
          <w:highlight w:val="none"/>
          <w:lang w:eastAsia="zh-CN"/>
        </w:rPr>
        <w:t>改为：</w:t>
      </w:r>
    </w:p>
    <w:p>
      <w:pPr>
        <w:pStyle w:val="24"/>
        <w:keepNext w:val="0"/>
        <w:keepLines w:val="0"/>
        <w:pageBreakBefore w:val="0"/>
        <w:widowControl w:val="0"/>
        <w:tabs>
          <w:tab w:val="left" w:pos="744"/>
        </w:tabs>
        <w:kinsoku/>
        <w:wordWrap/>
        <w:overflowPunct/>
        <w:topLinePunct w:val="0"/>
        <w:autoSpaceDE/>
        <w:autoSpaceDN/>
        <w:bidi w:val="0"/>
        <w:adjustRightInd/>
        <w:snapToGrid/>
        <w:ind w:left="1138" w:hanging="1138" w:hangingChars="542"/>
        <w:textAlignment w:val="auto"/>
        <w:rPr>
          <w:rFonts w:hint="default" w:ascii="Times New Roman" w:hAnsi="Times New Roman" w:cs="Times New Roman"/>
          <w:color w:val="auto"/>
          <w:highlight w:val="none"/>
        </w:rPr>
      </w:pPr>
      <w:r>
        <w:rPr>
          <w:rFonts w:hint="eastAsia" w:ascii="楷体" w:hAnsi="楷体" w:eastAsia="楷体"/>
          <w:color w:val="auto"/>
          <w:szCs w:val="22"/>
          <w:highlight w:val="none"/>
          <w:u w:val="none"/>
          <w:lang w:eastAsia="zh-CN"/>
        </w:rPr>
        <w:t>“</w:t>
      </w:r>
      <w:r>
        <w:rPr>
          <w:rFonts w:hint="eastAsia" w:ascii="楷体" w:hAnsi="楷体" w:eastAsia="楷体"/>
          <w:color w:val="auto"/>
          <w:szCs w:val="22"/>
          <w:highlight w:val="none"/>
          <w:u w:val="none"/>
          <w:lang w:val="en-US" w:eastAsia="zh-CN"/>
        </w:rPr>
        <w:t xml:space="preserve"> </w:t>
      </w:r>
      <w:r>
        <w:rPr>
          <w:rFonts w:hint="default" w:ascii="Times New Roman" w:hAnsi="Times New Roman" w:cs="Times New Roman"/>
          <w:b/>
          <w:color w:val="auto"/>
          <w:highlight w:val="none"/>
        </w:rPr>
        <w:t>.5</w:t>
      </w:r>
      <w:r>
        <w:rPr>
          <w:rFonts w:hint="default" w:ascii="Times New Roman" w:hAnsi="Times New Roman" w:cs="Times New Roman"/>
          <w:color w:val="auto"/>
          <w:highlight w:val="none"/>
        </w:rPr>
        <w:t>　1台接收来自</w:t>
      </w:r>
      <w:r>
        <w:rPr>
          <w:rFonts w:hint="default" w:ascii="Times New Roman" w:hAnsi="Times New Roman" w:cs="Times New Roman"/>
          <w:strike/>
          <w:dstrike w:val="0"/>
          <w:color w:val="FF0000"/>
          <w:highlight w:val="none"/>
        </w:rPr>
        <w:t>Inmarsat</w:t>
      </w:r>
      <w:r>
        <w:rPr>
          <w:rFonts w:hint="eastAsia" w:ascii="Times New Roman" w:hAnsi="Times New Roman" w:cs="Times New Roman"/>
          <w:color w:val="FF0000"/>
          <w:highlight w:val="none"/>
          <w:u w:val="single"/>
          <w:lang w:eastAsia="zh-CN"/>
        </w:rPr>
        <w:t>认可的移动卫星业务</w:t>
      </w:r>
      <w:r>
        <w:rPr>
          <w:rFonts w:hint="default" w:ascii="Times New Roman" w:hAnsi="Times New Roman" w:cs="Times New Roman"/>
          <w:color w:val="auto"/>
          <w:highlight w:val="none"/>
        </w:rPr>
        <w:t>增强群呼系统的海上安全信息的无线电</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设备（如果船舶航行</w:t>
      </w:r>
      <w:r>
        <w:rPr>
          <w:rFonts w:hint="default" w:ascii="Times New Roman" w:hAnsi="Times New Roman" w:cs="Times New Roman"/>
          <w:strike/>
          <w:dstrike w:val="0"/>
          <w:color w:val="FF0000"/>
          <w:highlight w:val="none"/>
        </w:rPr>
        <w:t>在Inmarsat所覆盖的</w:t>
      </w:r>
      <w:r>
        <w:rPr>
          <w:rFonts w:hint="eastAsia" w:ascii="Times New Roman" w:hAnsi="Times New Roman" w:cs="Times New Roman"/>
          <w:color w:val="FF0000"/>
          <w:highlight w:val="none"/>
          <w:u w:val="single"/>
          <w:lang w:eastAsia="zh-CN"/>
        </w:rPr>
        <w:t>于</w:t>
      </w:r>
      <w:r>
        <w:rPr>
          <w:rFonts w:hint="eastAsia" w:ascii="Times New Roman" w:hAnsi="Times New Roman" w:cs="Times New Roman"/>
          <w:color w:val="FF0000"/>
          <w:highlight w:val="none"/>
          <w:u w:val="single"/>
          <w:lang w:val="en-US" w:eastAsia="zh-CN"/>
        </w:rPr>
        <w:t>A1或A2或A3</w:t>
      </w:r>
      <w:r>
        <w:rPr>
          <w:rFonts w:hint="default" w:ascii="Times New Roman" w:hAnsi="Times New Roman" w:cs="Times New Roman"/>
          <w:color w:val="auto"/>
          <w:highlight w:val="none"/>
        </w:rPr>
        <w:t>，但不具有国际NAVTEX业务</w:t>
      </w:r>
    </w:p>
    <w:p>
      <w:pPr>
        <w:pStyle w:val="24"/>
        <w:keepNext w:val="0"/>
        <w:keepLines w:val="0"/>
        <w:pageBreakBefore w:val="0"/>
        <w:widowControl w:val="0"/>
        <w:tabs>
          <w:tab w:val="left" w:pos="744"/>
        </w:tabs>
        <w:kinsoku/>
        <w:wordWrap/>
        <w:overflowPunct/>
        <w:topLinePunct w:val="0"/>
        <w:autoSpaceDE/>
        <w:autoSpaceDN/>
        <w:bidi w:val="0"/>
        <w:adjustRightInd/>
        <w:snapToGrid/>
        <w:ind w:left="1138" w:hanging="1138" w:hangingChars="542"/>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的任何区域内）。但是，如果船舶仅航行在具有高频（HF）直接印字电报海上安全信息业</w:t>
      </w:r>
    </w:p>
    <w:p>
      <w:pPr>
        <w:pStyle w:val="24"/>
        <w:keepNext w:val="0"/>
        <w:keepLines w:val="0"/>
        <w:pageBreakBefore w:val="0"/>
        <w:widowControl w:val="0"/>
        <w:tabs>
          <w:tab w:val="left" w:pos="744"/>
        </w:tabs>
        <w:kinsoku/>
        <w:wordWrap/>
        <w:overflowPunct/>
        <w:topLinePunct w:val="0"/>
        <w:autoSpaceDE/>
        <w:autoSpaceDN/>
        <w:bidi w:val="0"/>
        <w:adjustRightInd/>
        <w:snapToGrid/>
        <w:ind w:left="1138" w:hanging="1138" w:hangingChars="542"/>
        <w:textAlignment w:val="auto"/>
        <w:rPr>
          <w:color w:val="FF0000"/>
          <w:highlight w:val="none"/>
          <w:u w:val="single"/>
        </w:rPr>
      </w:pPr>
      <w:r>
        <w:rPr>
          <w:rFonts w:hint="default" w:ascii="Times New Roman" w:hAnsi="Times New Roman" w:cs="Times New Roman"/>
          <w:color w:val="auto"/>
          <w:highlight w:val="none"/>
        </w:rPr>
        <w:t>务的区域，而且该船已装设了能接收这种业务的设备，则可免除本要求</w:t>
      </w:r>
      <w:r>
        <w:rPr>
          <w:rStyle w:val="60"/>
          <w:rFonts w:hint="default" w:ascii="Times New Roman" w:hAnsi="Times New Roman" w:cs="Times New Roman"/>
          <w:color w:val="auto"/>
          <w:highlight w:val="none"/>
        </w:rPr>
        <w:footnoteReference w:id="15"/>
      </w:r>
      <w:r>
        <w:rPr>
          <w:rFonts w:hint="default" w:ascii="Times New Roman" w:hAnsi="Times New Roman" w:cs="Times New Roman"/>
          <w:color w:val="auto"/>
          <w:highlight w:val="none"/>
        </w:rPr>
        <w:t>。</w:t>
      </w:r>
      <w:r>
        <w:rPr>
          <w:rFonts w:hint="eastAsia" w:ascii="宋体" w:hAnsi="宋体" w:eastAsia="宋体" w:cs="宋体"/>
          <w:color w:val="auto"/>
          <w:kern w:val="0"/>
          <w:sz w:val="21"/>
          <w:szCs w:val="21"/>
          <w:highlight w:val="none"/>
          <w:u w:val="none"/>
          <w:lang w:val="en-US" w:eastAsia="zh-CN" w:bidi="ar"/>
        </w:rPr>
        <w:t>”</w:t>
      </w:r>
    </w:p>
    <w:p>
      <w:pPr>
        <w:spacing w:after="156" w:afterLines="50" w:line="360" w:lineRule="auto"/>
        <w:rPr>
          <w:rFonts w:ascii="宋体" w:hAnsi="宋体"/>
          <w:szCs w:val="24"/>
          <w:highlight w:val="none"/>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72" w:name="_Toc29541"/>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8</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无线电设备：A1海区</w:t>
      </w:r>
      <w:bookmarkEnd w:id="72"/>
    </w:p>
    <w:p>
      <w:pPr>
        <w:rPr>
          <w:b/>
          <w:highlight w:val="none"/>
        </w:rPr>
      </w:pP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w:t>
      </w:r>
      <w:r>
        <w:rPr>
          <w:rFonts w:hint="eastAsia" w:ascii="楷体" w:hAnsi="楷体" w:eastAsia="楷体"/>
          <w:szCs w:val="22"/>
          <w:highlight w:val="none"/>
          <w:lang w:eastAsia="zh-CN"/>
        </w:rPr>
        <w:t>1中.</w:t>
      </w:r>
      <w:r>
        <w:rPr>
          <w:rFonts w:hint="eastAsia" w:ascii="楷体" w:hAnsi="楷体" w:eastAsia="楷体"/>
          <w:szCs w:val="22"/>
          <w:highlight w:val="none"/>
          <w:lang w:val="en-US" w:eastAsia="zh-CN"/>
        </w:rPr>
        <w:t>5</w:t>
      </w:r>
      <w:r>
        <w:rPr>
          <w:rFonts w:hint="eastAsia" w:ascii="楷体" w:hAnsi="楷体" w:eastAsia="楷体"/>
          <w:szCs w:val="22"/>
          <w:highlight w:val="none"/>
          <w:lang w:eastAsia="zh-CN"/>
        </w:rPr>
        <w:t>改为如下：</w:t>
      </w:r>
    </w:p>
    <w:p>
      <w:pPr>
        <w:pStyle w:val="24"/>
        <w:tabs>
          <w:tab w:val="left" w:pos="720"/>
        </w:tabs>
        <w:ind w:left="1079" w:hanging="1079" w:hangingChars="514"/>
        <w:rPr>
          <w:rFonts w:hint="default" w:ascii="Times New Roman" w:hAnsi="Times New Roman" w:cs="Times New Roman"/>
          <w:color w:val="auto"/>
          <w:highlight w:val="none"/>
          <w:u w:val="none"/>
        </w:rPr>
      </w:pPr>
      <w:r>
        <w:rPr>
          <w:rFonts w:hint="eastAsia" w:ascii="楷体" w:hAnsi="楷体" w:eastAsia="楷体"/>
          <w:color w:val="auto"/>
          <w:szCs w:val="22"/>
          <w:highlight w:val="none"/>
          <w:u w:val="none"/>
          <w:lang w:eastAsia="zh-CN"/>
        </w:rPr>
        <w:t>“</w:t>
      </w:r>
      <w:r>
        <w:rPr>
          <w:rFonts w:hint="default" w:ascii="Times New Roman" w:hAnsi="Times New Roman" w:cs="Times New Roman"/>
          <w:b/>
          <w:color w:val="auto"/>
          <w:highlight w:val="none"/>
          <w:u w:val="none"/>
        </w:rPr>
        <w:t>.5</w:t>
      </w:r>
      <w:r>
        <w:rPr>
          <w:rFonts w:hint="default" w:ascii="Times New Roman" w:hAnsi="Times New Roman" w:cs="Times New Roman"/>
          <w:color w:val="auto"/>
          <w:highlight w:val="none"/>
          <w:u w:val="none"/>
        </w:rPr>
        <w:t>　通过</w:t>
      </w:r>
      <w:r>
        <w:rPr>
          <w:rFonts w:hint="default" w:ascii="Times New Roman" w:hAnsi="Times New Roman" w:cs="Times New Roman"/>
          <w:strike/>
          <w:dstrike w:val="0"/>
          <w:color w:val="FF0000"/>
          <w:highlight w:val="none"/>
        </w:rPr>
        <w:t>Inmarsat对地静止卫星业务</w:t>
      </w:r>
      <w:r>
        <w:rPr>
          <w:rFonts w:hint="eastAsia" w:ascii="Times New Roman" w:hAnsi="Times New Roman" w:cs="Times New Roman"/>
          <w:color w:val="FF0000"/>
          <w:highlight w:val="none"/>
          <w:u w:val="single"/>
          <w:lang w:eastAsia="zh-CN"/>
        </w:rPr>
        <w:t>认可的移动卫星业务</w:t>
      </w:r>
      <w:r>
        <w:rPr>
          <w:rFonts w:hint="default" w:ascii="Times New Roman" w:hAnsi="Times New Roman" w:cs="Times New Roman"/>
          <w:strike w:val="0"/>
          <w:dstrike w:val="0"/>
          <w:color w:val="auto"/>
          <w:highlight w:val="none"/>
          <w:u w:val="none"/>
        </w:rPr>
        <w:t>来工作</w:t>
      </w:r>
      <w:r>
        <w:rPr>
          <w:rFonts w:hint="default" w:ascii="Times New Roman" w:hAnsi="Times New Roman" w:cs="Times New Roman"/>
          <w:color w:val="auto"/>
          <w:highlight w:val="none"/>
          <w:u w:val="none"/>
        </w:rPr>
        <w:t>；该要求可由以下设备来</w:t>
      </w:r>
    </w:p>
    <w:p>
      <w:pPr>
        <w:pStyle w:val="24"/>
        <w:tabs>
          <w:tab w:val="left" w:pos="720"/>
        </w:tabs>
        <w:ind w:left="1079" w:hanging="1079" w:hangingChars="514"/>
        <w:rPr>
          <w:rFonts w:hint="default" w:ascii="Times New Roman" w:hAnsi="Times New Roman" w:cs="Times New Roman"/>
          <w:color w:val="auto"/>
          <w:highlight w:val="none"/>
          <w:u w:val="none"/>
        </w:rPr>
      </w:pPr>
      <w:r>
        <w:rPr>
          <w:rFonts w:hint="default" w:ascii="Times New Roman" w:hAnsi="Times New Roman" w:cs="Times New Roman"/>
          <w:color w:val="auto"/>
          <w:highlight w:val="none"/>
          <w:u w:val="none"/>
        </w:rPr>
        <w:t>满足：</w:t>
      </w:r>
    </w:p>
    <w:p>
      <w:pPr>
        <w:pStyle w:val="24"/>
        <w:tabs>
          <w:tab w:val="left" w:pos="720"/>
        </w:tabs>
        <w:ind w:left="1079" w:hanging="1079" w:hangingChars="514"/>
        <w:rPr>
          <w:rFonts w:hint="default" w:ascii="Times New Roman" w:hAnsi="Times New Roman" w:cs="Times New Roman"/>
          <w:color w:val="auto"/>
          <w:highlight w:val="none"/>
          <w:u w:val="none"/>
        </w:rPr>
      </w:pPr>
      <w:r>
        <w:rPr>
          <w:rFonts w:hint="default" w:ascii="Times New Roman" w:hAnsi="Times New Roman" w:cs="Times New Roman"/>
          <w:color w:val="auto"/>
          <w:highlight w:val="none"/>
          <w:u w:val="none"/>
        </w:rPr>
        <w:tab/>
      </w:r>
      <w:r>
        <w:rPr>
          <w:rFonts w:hint="default" w:ascii="Times New Roman" w:hAnsi="Times New Roman" w:cs="Times New Roman"/>
          <w:b/>
          <w:color w:val="auto"/>
          <w:highlight w:val="none"/>
          <w:u w:val="none"/>
        </w:rPr>
        <w:t>.5.1</w:t>
      </w:r>
      <w:r>
        <w:rPr>
          <w:rFonts w:hint="default" w:ascii="Times New Roman" w:hAnsi="Times New Roman" w:cs="Times New Roman"/>
          <w:color w:val="auto"/>
          <w:highlight w:val="none"/>
          <w:u w:val="none"/>
        </w:rPr>
        <w:t>　1台</w:t>
      </w:r>
      <w:r>
        <w:rPr>
          <w:rFonts w:hint="default" w:ascii="Times New Roman" w:hAnsi="Times New Roman" w:cs="Times New Roman"/>
          <w:strike/>
          <w:dstrike w:val="0"/>
          <w:color w:val="FF0000"/>
          <w:highlight w:val="none"/>
        </w:rPr>
        <w:t>Inmarsat</w:t>
      </w:r>
      <w:r>
        <w:rPr>
          <w:rFonts w:hint="default" w:ascii="Times New Roman" w:hAnsi="Times New Roman" w:cs="Times New Roman"/>
          <w:color w:val="auto"/>
          <w:highlight w:val="none"/>
          <w:u w:val="none"/>
        </w:rPr>
        <w:t>船舶地面站</w:t>
      </w:r>
      <w:r>
        <w:rPr>
          <w:rStyle w:val="60"/>
          <w:rFonts w:hint="default" w:ascii="Times New Roman" w:hAnsi="Times New Roman" w:cs="Times New Roman"/>
          <w:color w:val="auto"/>
          <w:highlight w:val="none"/>
          <w:u w:val="none"/>
        </w:rPr>
        <w:footnoteReference w:id="16"/>
      </w:r>
      <w:r>
        <w:rPr>
          <w:rFonts w:hint="default" w:ascii="Times New Roman" w:hAnsi="Times New Roman" w:cs="Times New Roman"/>
          <w:color w:val="auto"/>
          <w:highlight w:val="none"/>
          <w:u w:val="none"/>
        </w:rPr>
        <w:t>；或</w:t>
      </w:r>
    </w:p>
    <w:p>
      <w:pPr>
        <w:pStyle w:val="24"/>
        <w:tabs>
          <w:tab w:val="left" w:pos="720"/>
        </w:tabs>
        <w:spacing w:after="156" w:afterLines="50"/>
        <w:ind w:left="1260" w:hanging="1260" w:hangingChars="600"/>
        <w:rPr>
          <w:rFonts w:hint="eastAsia" w:ascii="宋体" w:hAnsi="宋体" w:eastAsia="宋体" w:cs="宋体"/>
          <w:color w:val="auto"/>
          <w:kern w:val="0"/>
          <w:sz w:val="21"/>
          <w:szCs w:val="21"/>
          <w:highlight w:val="none"/>
          <w:u w:val="none"/>
          <w:lang w:val="en-US" w:eastAsia="zh-CN" w:bidi="ar"/>
        </w:rPr>
      </w:pPr>
      <w:r>
        <w:rPr>
          <w:rFonts w:hint="default" w:ascii="Times New Roman" w:hAnsi="Times New Roman" w:cs="Times New Roman"/>
          <w:color w:val="auto"/>
          <w:highlight w:val="none"/>
          <w:u w:val="none"/>
        </w:rPr>
        <w:tab/>
      </w:r>
      <w:r>
        <w:rPr>
          <w:rFonts w:hint="default" w:ascii="Times New Roman" w:hAnsi="Times New Roman" w:cs="Times New Roman"/>
          <w:b/>
          <w:color w:val="auto"/>
          <w:highlight w:val="none"/>
          <w:u w:val="none"/>
        </w:rPr>
        <w:t>.5.2</w:t>
      </w:r>
      <w:r>
        <w:rPr>
          <w:rFonts w:hint="default" w:ascii="Times New Roman" w:hAnsi="Times New Roman" w:cs="Times New Roman"/>
          <w:color w:val="auto"/>
          <w:highlight w:val="none"/>
          <w:u w:val="none"/>
        </w:rPr>
        <w:t xml:space="preserve">  第7.1.6条所要求的卫星EPIRB。该卫星EPIRB应位于靠近船舶通常驾驶的位置或能从船舶通常驾驶的位置遥控启动。</w:t>
      </w:r>
      <w:r>
        <w:rPr>
          <w:rFonts w:hint="eastAsia" w:ascii="宋体" w:hAnsi="宋体" w:eastAsia="宋体" w:cs="宋体"/>
          <w:color w:val="auto"/>
          <w:kern w:val="0"/>
          <w:sz w:val="21"/>
          <w:szCs w:val="21"/>
          <w:highlight w:val="none"/>
          <w:u w:val="none"/>
          <w:lang w:val="en-US" w:eastAsia="zh-CN" w:bidi="ar"/>
        </w:rPr>
        <w:t>”</w:t>
      </w:r>
    </w:p>
    <w:p>
      <w:pPr>
        <w:pStyle w:val="24"/>
        <w:tabs>
          <w:tab w:val="left" w:pos="720"/>
        </w:tabs>
        <w:spacing w:after="156" w:afterLines="50"/>
        <w:ind w:left="1260" w:hanging="1260" w:hangingChars="600"/>
        <w:rPr>
          <w:rFonts w:hint="eastAsia" w:ascii="宋体" w:hAnsi="宋体" w:eastAsia="宋体" w:cs="宋体"/>
          <w:color w:val="auto"/>
          <w:kern w:val="0"/>
          <w:sz w:val="21"/>
          <w:szCs w:val="21"/>
          <w:highlight w:val="none"/>
          <w:u w:val="none"/>
          <w:lang w:val="en-US" w:eastAsia="zh-CN" w:bidi="ar"/>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73" w:name="_Toc25697"/>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9</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无线电设备：</w:t>
      </w:r>
      <w:r>
        <w:rPr>
          <w:rFonts w:hint="default" w:ascii="Times New Roman" w:hAnsi="Times New Roman" w:cs="Times New Roman"/>
          <w:b/>
          <w:iCs/>
          <w:color w:val="auto"/>
          <w:highlight w:val="none"/>
        </w:rPr>
        <w:t>A1和A2海区</w:t>
      </w:r>
      <w:bookmarkEnd w:id="73"/>
    </w:p>
    <w:p>
      <w:pPr>
        <w:rPr>
          <w:b/>
          <w:highlight w:val="none"/>
        </w:rPr>
      </w:pP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w:t>
      </w:r>
      <w:r>
        <w:rPr>
          <w:rFonts w:hint="eastAsia" w:ascii="楷体" w:hAnsi="楷体" w:eastAsia="楷体"/>
          <w:szCs w:val="22"/>
          <w:highlight w:val="none"/>
          <w:lang w:eastAsia="zh-CN"/>
        </w:rPr>
        <w:t>1中.</w:t>
      </w:r>
      <w:r>
        <w:rPr>
          <w:rFonts w:hint="eastAsia" w:ascii="楷体" w:hAnsi="楷体" w:eastAsia="楷体"/>
          <w:szCs w:val="22"/>
          <w:highlight w:val="none"/>
          <w:lang w:val="en-US" w:eastAsia="zh-CN"/>
        </w:rPr>
        <w:t>3.3</w:t>
      </w:r>
      <w:r>
        <w:rPr>
          <w:rFonts w:hint="eastAsia" w:ascii="楷体" w:hAnsi="楷体" w:eastAsia="楷体"/>
          <w:szCs w:val="22"/>
          <w:highlight w:val="none"/>
          <w:lang w:eastAsia="zh-CN"/>
        </w:rPr>
        <w:t>改为如下：</w:t>
      </w:r>
    </w:p>
    <w:p>
      <w:pPr>
        <w:pStyle w:val="24"/>
        <w:tabs>
          <w:tab w:val="left" w:pos="720"/>
        </w:tabs>
        <w:spacing w:after="156" w:afterLines="50"/>
        <w:ind w:left="1260" w:hanging="1260" w:hangingChars="600"/>
        <w:rPr>
          <w:rFonts w:hint="eastAsia" w:ascii="宋体" w:hAnsi="宋体" w:eastAsia="宋体" w:cs="宋体"/>
          <w:color w:val="auto"/>
          <w:kern w:val="0"/>
          <w:sz w:val="21"/>
          <w:szCs w:val="21"/>
          <w:highlight w:val="none"/>
          <w:u w:val="none"/>
          <w:lang w:val="en-US" w:eastAsia="zh-CN" w:bidi="ar"/>
        </w:rPr>
      </w:pPr>
      <w:r>
        <w:rPr>
          <w:rFonts w:hint="eastAsia" w:ascii="楷体" w:hAnsi="楷体" w:eastAsia="楷体"/>
          <w:color w:val="auto"/>
          <w:szCs w:val="22"/>
          <w:highlight w:val="none"/>
          <w:u w:val="none"/>
          <w:lang w:eastAsia="zh-CN"/>
        </w:rPr>
        <w:t>“</w:t>
      </w:r>
      <w:r>
        <w:rPr>
          <w:rFonts w:hint="default" w:ascii="Times New Roman" w:hAnsi="Times New Roman" w:cs="Times New Roman"/>
          <w:b/>
          <w:color w:val="auto"/>
          <w:highlight w:val="none"/>
        </w:rPr>
        <w:t>.3.3</w:t>
      </w:r>
      <w:r>
        <w:rPr>
          <w:rFonts w:hint="default" w:ascii="Times New Roman" w:hAnsi="Times New Roman" w:cs="Times New Roman"/>
          <w:color w:val="auto"/>
          <w:highlight w:val="none"/>
        </w:rPr>
        <w:t>　</w:t>
      </w:r>
      <w:r>
        <w:rPr>
          <w:rFonts w:hint="default" w:ascii="Times New Roman" w:hAnsi="Times New Roman" w:cs="Times New Roman"/>
          <w:strike w:val="0"/>
          <w:dstrike w:val="0"/>
          <w:color w:val="auto"/>
          <w:highlight w:val="none"/>
          <w:u w:val="none"/>
        </w:rPr>
        <w:t>由船舶地面站通过</w:t>
      </w:r>
      <w:r>
        <w:rPr>
          <w:rFonts w:hint="default" w:ascii="Times New Roman" w:hAnsi="Times New Roman" w:cs="Times New Roman"/>
          <w:strike/>
          <w:dstrike w:val="0"/>
          <w:color w:val="FF0000"/>
          <w:highlight w:val="none"/>
          <w:u w:val="none"/>
        </w:rPr>
        <w:t>Inmarsat对地静止卫星业务</w:t>
      </w:r>
      <w:r>
        <w:rPr>
          <w:rFonts w:hint="eastAsia" w:ascii="Times New Roman" w:hAnsi="Times New Roman" w:cs="Times New Roman"/>
          <w:strike w:val="0"/>
          <w:dstrike w:val="0"/>
          <w:color w:val="FF0000"/>
          <w:highlight w:val="none"/>
          <w:u w:val="single"/>
          <w:lang w:eastAsia="zh-CN"/>
        </w:rPr>
        <w:t>认可的移动卫星业务</w:t>
      </w:r>
      <w:r>
        <w:rPr>
          <w:rFonts w:hint="default" w:ascii="Times New Roman" w:hAnsi="Times New Roman" w:cs="Times New Roman"/>
          <w:strike w:val="0"/>
          <w:dstrike w:val="0"/>
          <w:color w:val="auto"/>
          <w:highlight w:val="none"/>
          <w:u w:val="none"/>
        </w:rPr>
        <w:t>进行。</w:t>
      </w:r>
      <w:r>
        <w:rPr>
          <w:rFonts w:hint="eastAsia" w:ascii="Times New Roman" w:hAnsi="Times New Roman" w:cs="Times New Roman"/>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原3</w:t>
      </w:r>
      <w:r>
        <w:rPr>
          <w:rFonts w:hint="eastAsia" w:ascii="楷体" w:hAnsi="楷体" w:eastAsia="楷体"/>
          <w:szCs w:val="22"/>
          <w:highlight w:val="none"/>
          <w:lang w:eastAsia="zh-CN"/>
        </w:rPr>
        <w:t>中.</w:t>
      </w:r>
      <w:r>
        <w:rPr>
          <w:rFonts w:hint="eastAsia" w:ascii="楷体" w:hAnsi="楷体" w:eastAsia="楷体"/>
          <w:szCs w:val="22"/>
          <w:highlight w:val="none"/>
          <w:lang w:val="en-US" w:eastAsia="zh-CN"/>
        </w:rPr>
        <w:t>2</w:t>
      </w:r>
      <w:r>
        <w:rPr>
          <w:rFonts w:hint="eastAsia" w:ascii="楷体" w:hAnsi="楷体" w:eastAsia="楷体"/>
          <w:szCs w:val="22"/>
          <w:highlight w:val="none"/>
          <w:lang w:eastAsia="zh-CN"/>
        </w:rPr>
        <w:t>改为如下：</w:t>
      </w:r>
    </w:p>
    <w:p>
      <w:pPr>
        <w:pStyle w:val="24"/>
        <w:tabs>
          <w:tab w:val="left" w:pos="720"/>
        </w:tabs>
        <w:spacing w:after="156" w:afterLines="50"/>
        <w:ind w:left="1260" w:hanging="1260" w:hangingChars="600"/>
        <w:rPr>
          <w:rFonts w:hint="eastAsia" w:ascii="Times New Roman" w:hAnsi="Times New Roman" w:cs="Times New Roman"/>
          <w:strike w:val="0"/>
          <w:dstrike w:val="0"/>
          <w:color w:val="auto"/>
          <w:highlight w:val="none"/>
          <w:u w:val="none"/>
          <w:lang w:eastAsia="zh-CN"/>
        </w:rPr>
      </w:pPr>
      <w:r>
        <w:rPr>
          <w:rFonts w:hint="eastAsia" w:ascii="Times New Roman" w:hAnsi="Times New Roman" w:cs="Times New Roman"/>
          <w:strike w:val="0"/>
          <w:dstrike w:val="0"/>
          <w:color w:val="auto"/>
          <w:highlight w:val="none"/>
          <w:u w:val="none"/>
          <w:lang w:eastAsia="zh-CN"/>
        </w:rPr>
        <w:t>“</w:t>
      </w:r>
      <w:r>
        <w:rPr>
          <w:rFonts w:hint="default" w:ascii="Times New Roman" w:hAnsi="Times New Roman" w:cs="Times New Roman"/>
          <w:b/>
          <w:color w:val="auto"/>
          <w:highlight w:val="none"/>
        </w:rPr>
        <w:t>.2</w:t>
      </w:r>
      <w:r>
        <w:rPr>
          <w:rFonts w:hint="default" w:ascii="Times New Roman" w:hAnsi="Times New Roman" w:cs="Times New Roman"/>
          <w:strike w:val="0"/>
          <w:dstrike w:val="0"/>
          <w:color w:val="auto"/>
          <w:highlight w:val="none"/>
          <w:u w:val="none"/>
        </w:rPr>
        <w:t>　1台</w:t>
      </w:r>
      <w:r>
        <w:rPr>
          <w:rFonts w:hint="default" w:ascii="Times New Roman" w:hAnsi="Times New Roman" w:cs="Times New Roman"/>
          <w:strike/>
          <w:dstrike w:val="0"/>
          <w:color w:val="FF0000"/>
          <w:highlight w:val="none"/>
        </w:rPr>
        <w:t>Inmarsat船舶地面站</w:t>
      </w:r>
      <w:r>
        <w:rPr>
          <w:rFonts w:hint="eastAsia" w:ascii="Times New Roman" w:hAnsi="Times New Roman" w:cs="Times New Roman"/>
          <w:strike w:val="0"/>
          <w:dstrike w:val="0"/>
          <w:color w:val="FF0000"/>
          <w:highlight w:val="none"/>
          <w:u w:val="single"/>
          <w:lang w:eastAsia="zh-CN"/>
        </w:rPr>
        <w:t>认可的移动卫星业务船舶地面站</w:t>
      </w:r>
      <w:r>
        <w:rPr>
          <w:rFonts w:hint="eastAsia" w:ascii="Times New Roman" w:hAnsi="Times New Roman" w:cs="Times New Roman"/>
          <w:strike w:val="0"/>
          <w:dstrike w:val="0"/>
          <w:color w:val="auto"/>
          <w:highlight w:val="none"/>
          <w:u w:val="none"/>
          <w:lang w:eastAsia="zh-CN"/>
        </w:rPr>
        <w:t>。”</w:t>
      </w:r>
    </w:p>
    <w:p>
      <w:pPr>
        <w:pStyle w:val="24"/>
        <w:tabs>
          <w:tab w:val="left" w:pos="720"/>
        </w:tabs>
        <w:spacing w:after="156" w:afterLines="50"/>
        <w:ind w:left="1260" w:hanging="1260" w:hangingChars="600"/>
        <w:rPr>
          <w:rFonts w:hint="default" w:ascii="Times New Roman" w:hAnsi="Times New Roman" w:cs="Times New Roman"/>
          <w:strike w:val="0"/>
          <w:dstrike w:val="0"/>
          <w:color w:val="auto"/>
          <w:highlight w:val="none"/>
          <w:u w:val="none"/>
          <w:lang w:eastAsia="zh-CN"/>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74" w:name="_Toc23450"/>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10</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无线电设备：</w:t>
      </w:r>
      <w:r>
        <w:rPr>
          <w:rFonts w:hint="default" w:ascii="Times New Roman" w:hAnsi="Times New Roman" w:cs="Times New Roman"/>
          <w:b/>
          <w:iCs/>
          <w:color w:val="auto"/>
          <w:highlight w:val="none"/>
        </w:rPr>
        <w:t>A1</w:t>
      </w:r>
      <w:r>
        <w:rPr>
          <w:rFonts w:hint="eastAsia" w:ascii="Times New Roman" w:hAnsi="Times New Roman" w:cs="Times New Roman"/>
          <w:b/>
          <w:iCs/>
          <w:color w:val="auto"/>
          <w:highlight w:val="none"/>
          <w:lang w:eastAsia="zh-CN"/>
        </w:rPr>
        <w:t>、</w:t>
      </w:r>
      <w:r>
        <w:rPr>
          <w:rFonts w:hint="default" w:ascii="Times New Roman" w:hAnsi="Times New Roman" w:cs="Times New Roman"/>
          <w:b/>
          <w:iCs/>
          <w:color w:val="auto"/>
          <w:highlight w:val="none"/>
        </w:rPr>
        <w:t>A2</w:t>
      </w:r>
      <w:r>
        <w:rPr>
          <w:rFonts w:hint="eastAsia" w:ascii="Times New Roman" w:hAnsi="Times New Roman" w:cs="Times New Roman"/>
          <w:b/>
          <w:iCs/>
          <w:color w:val="auto"/>
          <w:highlight w:val="none"/>
          <w:lang w:eastAsia="zh-CN"/>
        </w:rPr>
        <w:t>和</w:t>
      </w:r>
      <w:r>
        <w:rPr>
          <w:rFonts w:hint="eastAsia" w:ascii="Times New Roman" w:hAnsi="Times New Roman" w:cs="Times New Roman"/>
          <w:b/>
          <w:iCs/>
          <w:color w:val="auto"/>
          <w:highlight w:val="none"/>
          <w:lang w:val="en-US" w:eastAsia="zh-CN"/>
        </w:rPr>
        <w:t>A3</w:t>
      </w:r>
      <w:r>
        <w:rPr>
          <w:rFonts w:hint="default" w:ascii="Times New Roman" w:hAnsi="Times New Roman" w:cs="Times New Roman"/>
          <w:b/>
          <w:iCs/>
          <w:color w:val="auto"/>
          <w:highlight w:val="none"/>
        </w:rPr>
        <w:t>海区</w:t>
      </w:r>
      <w:bookmarkEnd w:id="74"/>
    </w:p>
    <w:p>
      <w:pPr>
        <w:rPr>
          <w:b/>
          <w:highlight w:val="none"/>
        </w:rPr>
      </w:pP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w:t>
      </w:r>
      <w:r>
        <w:rPr>
          <w:rFonts w:hint="eastAsia" w:ascii="楷体" w:hAnsi="楷体" w:eastAsia="楷体"/>
          <w:szCs w:val="22"/>
          <w:highlight w:val="none"/>
          <w:lang w:eastAsia="zh-CN"/>
        </w:rPr>
        <w:t>1中.</w:t>
      </w:r>
      <w:r>
        <w:rPr>
          <w:rFonts w:hint="eastAsia" w:ascii="楷体" w:hAnsi="楷体" w:eastAsia="楷体"/>
          <w:szCs w:val="22"/>
          <w:highlight w:val="none"/>
          <w:lang w:val="en-US" w:eastAsia="zh-CN"/>
        </w:rPr>
        <w:t>1</w:t>
      </w:r>
      <w:r>
        <w:rPr>
          <w:rFonts w:hint="eastAsia" w:ascii="楷体" w:hAnsi="楷体" w:eastAsia="楷体"/>
          <w:szCs w:val="22"/>
          <w:highlight w:val="none"/>
          <w:lang w:eastAsia="zh-CN"/>
        </w:rPr>
        <w:t>改为如下：</w:t>
      </w:r>
    </w:p>
    <w:p>
      <w:pPr>
        <w:pStyle w:val="24"/>
        <w:tabs>
          <w:tab w:val="left" w:pos="720"/>
        </w:tabs>
        <w:spacing w:after="156" w:afterLines="50"/>
        <w:ind w:left="1260" w:hanging="1260" w:hangingChars="600"/>
        <w:rPr>
          <w:rFonts w:hint="eastAsia" w:ascii="宋体" w:hAnsi="宋体" w:eastAsia="宋体" w:cs="宋体"/>
          <w:color w:val="auto"/>
          <w:kern w:val="0"/>
          <w:sz w:val="21"/>
          <w:szCs w:val="21"/>
          <w:highlight w:val="none"/>
          <w:u w:val="none"/>
          <w:lang w:val="en-US" w:eastAsia="zh-CN" w:bidi="ar"/>
        </w:rPr>
      </w:pPr>
      <w:r>
        <w:rPr>
          <w:rFonts w:hint="eastAsia" w:ascii="楷体" w:hAnsi="楷体" w:eastAsia="楷体"/>
          <w:color w:val="auto"/>
          <w:szCs w:val="22"/>
          <w:highlight w:val="none"/>
          <w:u w:val="none"/>
          <w:lang w:eastAsia="zh-CN"/>
        </w:rPr>
        <w:t>“</w:t>
      </w:r>
      <w:r>
        <w:rPr>
          <w:rFonts w:hint="default" w:ascii="Times New Roman" w:hAnsi="Times New Roman" w:cs="Times New Roman"/>
          <w:b/>
          <w:color w:val="auto"/>
          <w:highlight w:val="none"/>
        </w:rPr>
        <w:t>.1</w:t>
      </w:r>
      <w:r>
        <w:rPr>
          <w:rFonts w:hint="default" w:ascii="Times New Roman" w:hAnsi="Times New Roman" w:cs="Times New Roman"/>
          <w:color w:val="auto"/>
          <w:highlight w:val="none"/>
        </w:rPr>
        <w:t>　1台</w:t>
      </w:r>
      <w:r>
        <w:rPr>
          <w:rFonts w:hint="default" w:ascii="Times New Roman" w:hAnsi="Times New Roman" w:cs="Times New Roman"/>
          <w:strike/>
          <w:dstrike w:val="0"/>
          <w:color w:val="FF0000"/>
          <w:highlight w:val="none"/>
        </w:rPr>
        <w:t>Inmarsat船舶地面站</w:t>
      </w:r>
      <w:r>
        <w:rPr>
          <w:rFonts w:hint="eastAsia" w:ascii="Times New Roman" w:hAnsi="Times New Roman" w:cs="Times New Roman"/>
          <w:color w:val="FF0000"/>
          <w:sz w:val="21"/>
          <w:szCs w:val="21"/>
          <w:highlight w:val="none"/>
          <w:u w:val="single"/>
          <w:lang w:eastAsia="zh-CN"/>
        </w:rPr>
        <w:t>认可的移动卫星业务船舶地面站</w:t>
      </w:r>
      <w:r>
        <w:rPr>
          <w:rFonts w:hint="default" w:ascii="Times New Roman" w:hAnsi="Times New Roman" w:cs="Times New Roman"/>
          <w:color w:val="auto"/>
          <w:highlight w:val="none"/>
        </w:rPr>
        <w:t>，它能：</w:t>
      </w:r>
      <w:r>
        <w:rPr>
          <w:rFonts w:hint="eastAsia" w:ascii="Times New Roman" w:hAnsi="Times New Roman" w:cs="Times New Roman"/>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原1</w:t>
      </w:r>
      <w:r>
        <w:rPr>
          <w:rFonts w:hint="eastAsia" w:ascii="楷体" w:hAnsi="楷体" w:eastAsia="楷体"/>
          <w:szCs w:val="22"/>
          <w:highlight w:val="none"/>
          <w:lang w:eastAsia="zh-CN"/>
        </w:rPr>
        <w:t>中</w:t>
      </w:r>
      <w:r>
        <w:rPr>
          <w:rFonts w:hint="eastAsia" w:ascii="楷体" w:hAnsi="楷体" w:eastAsia="楷体"/>
          <w:szCs w:val="22"/>
          <w:highlight w:val="none"/>
          <w:lang w:val="en-US" w:eastAsia="zh-CN"/>
        </w:rPr>
        <w:t>.4.3</w:t>
      </w:r>
      <w:r>
        <w:rPr>
          <w:rFonts w:hint="eastAsia" w:ascii="楷体" w:hAnsi="楷体" w:eastAsia="楷体"/>
          <w:szCs w:val="22"/>
          <w:highlight w:val="none"/>
          <w:lang w:eastAsia="zh-CN"/>
        </w:rPr>
        <w:t>改为如下：</w:t>
      </w:r>
    </w:p>
    <w:p>
      <w:pPr>
        <w:pStyle w:val="24"/>
        <w:tabs>
          <w:tab w:val="left" w:pos="720"/>
        </w:tabs>
        <w:spacing w:after="156" w:afterLines="50"/>
        <w:ind w:left="1260" w:hanging="1260" w:hangingChars="600"/>
        <w:rPr>
          <w:rFonts w:hint="eastAsia" w:ascii="Times New Roman" w:hAnsi="Times New Roman" w:cs="Times New Roman"/>
          <w:strike w:val="0"/>
          <w:dstrike w:val="0"/>
          <w:color w:val="auto"/>
          <w:highlight w:val="none"/>
          <w:u w:val="none"/>
          <w:lang w:eastAsia="zh-CN"/>
        </w:rPr>
      </w:pPr>
      <w:r>
        <w:rPr>
          <w:rFonts w:hint="eastAsia" w:ascii="Times New Roman" w:hAnsi="Times New Roman" w:cs="Times New Roman"/>
          <w:strike w:val="0"/>
          <w:dstrike w:val="0"/>
          <w:color w:val="auto"/>
          <w:highlight w:val="none"/>
          <w:u w:val="none"/>
          <w:lang w:eastAsia="zh-CN"/>
        </w:rPr>
        <w:t>“</w:t>
      </w:r>
      <w:r>
        <w:rPr>
          <w:rFonts w:hint="default" w:ascii="Times New Roman" w:hAnsi="Times New Roman" w:cs="Times New Roman"/>
          <w:b/>
          <w:color w:val="auto"/>
          <w:highlight w:val="none"/>
        </w:rPr>
        <w:t>.4.3</w:t>
      </w:r>
      <w:r>
        <w:rPr>
          <w:rFonts w:hint="default" w:ascii="Times New Roman" w:hAnsi="Times New Roman" w:cs="Times New Roman"/>
          <w:color w:val="auto"/>
          <w:highlight w:val="none"/>
        </w:rPr>
        <w:t>　由一台附加的船舶地面站通过</w:t>
      </w:r>
      <w:r>
        <w:rPr>
          <w:rFonts w:hint="default" w:ascii="Times New Roman" w:hAnsi="Times New Roman" w:cs="Times New Roman"/>
          <w:strike/>
          <w:dstrike w:val="0"/>
          <w:color w:val="FF0000"/>
          <w:highlight w:val="none"/>
        </w:rPr>
        <w:t>Inmarsat对地静止卫星业务</w:t>
      </w:r>
      <w:r>
        <w:rPr>
          <w:rFonts w:hint="eastAsia" w:ascii="Times New Roman" w:hAnsi="Times New Roman" w:cs="Times New Roman"/>
          <w:color w:val="FF0000"/>
          <w:sz w:val="21"/>
          <w:szCs w:val="21"/>
          <w:highlight w:val="none"/>
          <w:u w:val="single"/>
          <w:lang w:eastAsia="zh-CN"/>
        </w:rPr>
        <w:t>认可的移动卫星业务</w:t>
      </w:r>
      <w:r>
        <w:rPr>
          <w:rFonts w:hint="default" w:ascii="Times New Roman" w:hAnsi="Times New Roman" w:cs="Times New Roman"/>
          <w:color w:val="auto"/>
          <w:highlight w:val="none"/>
        </w:rPr>
        <w:t>。</w:t>
      </w:r>
      <w:r>
        <w:rPr>
          <w:rFonts w:hint="eastAsia" w:ascii="Times New Roman" w:hAnsi="Times New Roman" w:cs="Times New Roman"/>
          <w:strike w:val="0"/>
          <w:dstrike w:val="0"/>
          <w:color w:val="auto"/>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原2</w:t>
      </w:r>
      <w:r>
        <w:rPr>
          <w:rFonts w:hint="eastAsia" w:ascii="楷体" w:hAnsi="楷体" w:eastAsia="楷体"/>
          <w:szCs w:val="22"/>
          <w:highlight w:val="none"/>
          <w:lang w:eastAsia="zh-CN"/>
        </w:rPr>
        <w:t>中</w:t>
      </w:r>
      <w:r>
        <w:rPr>
          <w:rFonts w:hint="eastAsia" w:ascii="楷体" w:hAnsi="楷体" w:eastAsia="楷体"/>
          <w:szCs w:val="22"/>
          <w:highlight w:val="none"/>
          <w:lang w:val="en-US" w:eastAsia="zh-CN"/>
        </w:rPr>
        <w:t>.3.2</w:t>
      </w:r>
      <w:r>
        <w:rPr>
          <w:rFonts w:hint="eastAsia" w:ascii="楷体" w:hAnsi="楷体" w:eastAsia="楷体"/>
          <w:szCs w:val="22"/>
          <w:highlight w:val="none"/>
          <w:lang w:eastAsia="zh-CN"/>
        </w:rPr>
        <w:t>改为如下：</w:t>
      </w:r>
    </w:p>
    <w:p>
      <w:pPr>
        <w:spacing w:line="360" w:lineRule="auto"/>
        <w:jc w:val="both"/>
        <w:rPr>
          <w:rFonts w:ascii="宋体" w:hAnsi="宋体"/>
          <w:b/>
          <w:szCs w:val="24"/>
          <w:highlight w:val="none"/>
        </w:rPr>
      </w:pPr>
      <w:r>
        <w:rPr>
          <w:rFonts w:hint="eastAsia" w:ascii="Times New Roman" w:hAnsi="Times New Roman" w:cs="Times New Roman"/>
          <w:strike w:val="0"/>
          <w:dstrike w:val="0"/>
          <w:color w:val="auto"/>
          <w:highlight w:val="none"/>
          <w:u w:val="none"/>
          <w:lang w:eastAsia="zh-CN"/>
        </w:rPr>
        <w:t>“</w:t>
      </w:r>
      <w:r>
        <w:rPr>
          <w:rFonts w:hint="default" w:ascii="Times New Roman" w:hAnsi="Times New Roman" w:cs="Times New Roman"/>
          <w:b/>
          <w:color w:val="auto"/>
          <w:highlight w:val="none"/>
        </w:rPr>
        <w:t>.3.2</w:t>
      </w:r>
      <w:r>
        <w:rPr>
          <w:rFonts w:hint="default" w:ascii="Times New Roman" w:hAnsi="Times New Roman" w:cs="Times New Roman"/>
          <w:color w:val="auto"/>
          <w:highlight w:val="none"/>
        </w:rPr>
        <w:t>　由一台船舶地</w:t>
      </w:r>
      <w:r>
        <w:rPr>
          <w:rFonts w:hint="default" w:ascii="Times New Roman" w:hAnsi="Times New Roman" w:cs="Times New Roman" w:eastAsiaTheme="minorEastAsia"/>
          <w:color w:val="auto"/>
          <w:kern w:val="2"/>
          <w:sz w:val="21"/>
          <w:szCs w:val="20"/>
          <w:highlight w:val="none"/>
          <w:lang w:val="en-US" w:eastAsia="zh-CN" w:bidi="ar-SA"/>
        </w:rPr>
        <w:t>面站通过</w:t>
      </w:r>
      <w:r>
        <w:rPr>
          <w:rFonts w:hint="default" w:ascii="Times New Roman" w:hAnsi="Times New Roman" w:cs="Times New Roman"/>
          <w:strike/>
          <w:dstrike w:val="0"/>
          <w:color w:val="FF0000"/>
          <w:highlight w:val="none"/>
        </w:rPr>
        <w:t>Inmarsat对地静止卫星业务</w:t>
      </w:r>
      <w:r>
        <w:rPr>
          <w:rFonts w:hint="eastAsia" w:ascii="Times New Roman" w:hAnsi="Times New Roman" w:cs="Times New Roman"/>
          <w:color w:val="FF0000"/>
          <w:sz w:val="21"/>
          <w:szCs w:val="21"/>
          <w:highlight w:val="none"/>
          <w:u w:val="single"/>
          <w:lang w:eastAsia="zh-CN"/>
        </w:rPr>
        <w:t>认可的移动卫星业务</w:t>
      </w:r>
      <w:r>
        <w:rPr>
          <w:rFonts w:hint="default" w:ascii="Times New Roman" w:hAnsi="Times New Roman" w:cs="Times New Roman" w:eastAsiaTheme="minorEastAsia"/>
          <w:color w:val="auto"/>
          <w:kern w:val="2"/>
          <w:sz w:val="21"/>
          <w:szCs w:val="20"/>
          <w:highlight w:val="none"/>
          <w:lang w:val="en-US" w:eastAsia="zh-CN" w:bidi="ar-SA"/>
        </w:rPr>
        <w:t>进</w:t>
      </w:r>
      <w:r>
        <w:rPr>
          <w:rFonts w:hint="default" w:ascii="Times New Roman" w:hAnsi="Times New Roman" w:cs="Times New Roman"/>
          <w:color w:val="auto"/>
          <w:highlight w:val="none"/>
        </w:rPr>
        <w:t>行；和</w:t>
      </w:r>
      <w:r>
        <w:rPr>
          <w:rFonts w:hint="eastAsia" w:ascii="Times New Roman" w:hAnsi="Times New Roman" w:cs="Times New Roman"/>
          <w:strike w:val="0"/>
          <w:dstrike w:val="0"/>
          <w:color w:val="auto"/>
          <w:highlight w:val="none"/>
          <w:u w:val="none"/>
          <w:lang w:eastAsia="zh-CN"/>
        </w:rPr>
        <w:t>”</w:t>
      </w:r>
    </w:p>
    <w:p>
      <w:pPr>
        <w:spacing w:line="360" w:lineRule="auto"/>
        <w:jc w:val="center"/>
        <w:rPr>
          <w:rFonts w:ascii="宋体" w:hAnsi="宋体"/>
          <w:b/>
          <w:szCs w:val="24"/>
          <w:highlight w:val="none"/>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75" w:name="_Toc27669"/>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12</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值班</w:t>
      </w:r>
      <w:bookmarkEnd w:id="75"/>
    </w:p>
    <w:p>
      <w:pPr>
        <w:rPr>
          <w:b/>
          <w:highlight w:val="none"/>
        </w:rPr>
      </w:pPr>
    </w:p>
    <w:p>
      <w:pPr>
        <w:keepNext w:val="0"/>
        <w:keepLines w:val="0"/>
        <w:pageBreakBefore w:val="0"/>
        <w:widowControl w:val="0"/>
        <w:kinsoku/>
        <w:wordWrap/>
        <w:overflowPunct/>
        <w:topLinePunct w:val="0"/>
        <w:autoSpaceDE/>
        <w:autoSpaceDN/>
        <w:bidi w:val="0"/>
        <w:adjustRightInd/>
        <w:snapToGrid/>
        <w:spacing w:after="156" w:afterLines="50"/>
        <w:textAlignment w:val="auto"/>
        <w:outlineLvl w:val="9"/>
        <w:rPr>
          <w:rFonts w:hint="eastAsia" w:ascii="楷体" w:hAnsi="楷体" w:eastAsia="楷体"/>
          <w:szCs w:val="22"/>
          <w:highlight w:val="none"/>
          <w:lang w:eastAsia="zh-CN"/>
        </w:rPr>
      </w:pPr>
      <w:r>
        <w:rPr>
          <w:rFonts w:hint="eastAsia" w:ascii="楷体" w:hAnsi="楷体" w:eastAsia="楷体"/>
          <w:szCs w:val="22"/>
          <w:highlight w:val="none"/>
          <w:lang w:val="en-US" w:eastAsia="zh-CN"/>
        </w:rPr>
        <w:t>原</w:t>
      </w:r>
      <w:r>
        <w:rPr>
          <w:rFonts w:hint="eastAsia" w:ascii="楷体" w:hAnsi="楷体" w:eastAsia="楷体"/>
          <w:szCs w:val="22"/>
          <w:highlight w:val="none"/>
          <w:lang w:eastAsia="zh-CN"/>
        </w:rPr>
        <w:t>1中.</w:t>
      </w:r>
      <w:r>
        <w:rPr>
          <w:rFonts w:hint="eastAsia" w:ascii="楷体" w:hAnsi="楷体" w:eastAsia="楷体"/>
          <w:szCs w:val="22"/>
          <w:highlight w:val="none"/>
          <w:lang w:val="en-US" w:eastAsia="zh-CN"/>
        </w:rPr>
        <w:t>4</w:t>
      </w:r>
      <w:r>
        <w:rPr>
          <w:rFonts w:hint="eastAsia" w:ascii="楷体" w:hAnsi="楷体" w:eastAsia="楷体"/>
          <w:szCs w:val="22"/>
          <w:highlight w:val="none"/>
          <w:lang w:eastAsia="zh-CN"/>
        </w:rPr>
        <w:t>改为如下：</w:t>
      </w:r>
    </w:p>
    <w:p>
      <w:pPr>
        <w:pStyle w:val="24"/>
        <w:tabs>
          <w:tab w:val="left" w:pos="720"/>
        </w:tabs>
        <w:spacing w:after="156" w:afterLines="50"/>
        <w:ind w:left="1260" w:hanging="1260" w:hangingChars="600"/>
        <w:rPr>
          <w:rFonts w:hint="default" w:ascii="Times New Roman" w:hAnsi="Times New Roman" w:cs="Times New Roman"/>
          <w:color w:val="auto"/>
          <w:highlight w:val="none"/>
        </w:rPr>
      </w:pPr>
      <w:r>
        <w:rPr>
          <w:rFonts w:hint="eastAsia" w:ascii="楷体" w:hAnsi="楷体" w:eastAsia="楷体"/>
          <w:color w:val="auto"/>
          <w:szCs w:val="22"/>
          <w:highlight w:val="none"/>
          <w:u w:val="none"/>
          <w:lang w:eastAsia="zh-CN"/>
        </w:rPr>
        <w:t>“</w:t>
      </w:r>
      <w:r>
        <w:rPr>
          <w:rFonts w:hint="default" w:ascii="Times New Roman" w:hAnsi="Times New Roman" w:cs="Times New Roman"/>
          <w:b/>
          <w:color w:val="auto"/>
          <w:highlight w:val="none"/>
        </w:rPr>
        <w:t>.4</w:t>
      </w:r>
      <w:r>
        <w:rPr>
          <w:rFonts w:hint="default" w:ascii="Times New Roman" w:hAnsi="Times New Roman" w:cs="Times New Roman"/>
          <w:color w:val="auto"/>
          <w:highlight w:val="none"/>
        </w:rPr>
        <w:t>　根据第10.1.1条的要求，安装</w:t>
      </w:r>
      <w:r>
        <w:rPr>
          <w:rFonts w:hint="default" w:ascii="Times New Roman" w:hAnsi="Times New Roman" w:cs="Times New Roman"/>
          <w:strike/>
          <w:dstrike w:val="0"/>
          <w:color w:val="FF0000"/>
          <w:highlight w:val="none"/>
        </w:rPr>
        <w:t>Inmarsat</w:t>
      </w:r>
      <w:r>
        <w:rPr>
          <w:rFonts w:hint="eastAsia" w:ascii="Times New Roman" w:hAnsi="Times New Roman" w:cs="Times New Roman"/>
          <w:color w:val="FF0000"/>
          <w:sz w:val="21"/>
          <w:szCs w:val="21"/>
          <w:highlight w:val="none"/>
          <w:u w:val="single"/>
          <w:lang w:eastAsia="zh-CN"/>
        </w:rPr>
        <w:t>认可的移动卫星业务</w:t>
      </w:r>
      <w:r>
        <w:rPr>
          <w:rFonts w:hint="default" w:ascii="Times New Roman" w:hAnsi="Times New Roman" w:cs="Times New Roman"/>
          <w:color w:val="auto"/>
          <w:highlight w:val="none"/>
        </w:rPr>
        <w:t>船舶地面站的船舶，应对</w:t>
      </w:r>
    </w:p>
    <w:p>
      <w:pPr>
        <w:pStyle w:val="24"/>
        <w:tabs>
          <w:tab w:val="left" w:pos="720"/>
        </w:tabs>
        <w:spacing w:after="156" w:afterLines="50"/>
        <w:ind w:left="1260" w:hanging="1260" w:hangingChars="600"/>
        <w:rPr>
          <w:rFonts w:hint="eastAsia" w:ascii="Times New Roman" w:hAnsi="Times New Roman" w:cs="Times New Roman"/>
          <w:color w:val="auto"/>
          <w:highlight w:val="none"/>
          <w:lang w:eastAsia="zh-CN"/>
        </w:rPr>
      </w:pPr>
      <w:r>
        <w:rPr>
          <w:rFonts w:hint="default" w:ascii="Times New Roman" w:hAnsi="Times New Roman" w:cs="Times New Roman"/>
          <w:color w:val="auto"/>
          <w:highlight w:val="none"/>
        </w:rPr>
        <w:t>卫星岸对船的遇险报警保持连续值班。</w:t>
      </w:r>
      <w:r>
        <w:rPr>
          <w:rFonts w:hint="eastAsia" w:ascii="Times New Roman" w:hAnsi="Times New Roman" w:cs="Times New Roman"/>
          <w:color w:val="auto"/>
          <w:highlight w:val="none"/>
          <w:lang w:eastAsia="zh-CN"/>
        </w:rPr>
        <w:t>”</w:t>
      </w:r>
    </w:p>
    <w:p>
      <w:pPr>
        <w:pStyle w:val="24"/>
        <w:tabs>
          <w:tab w:val="left" w:pos="720"/>
        </w:tabs>
        <w:spacing w:after="156" w:afterLines="50"/>
        <w:ind w:left="1260" w:hanging="1260" w:hangingChars="600"/>
        <w:rPr>
          <w:rFonts w:hint="eastAsia" w:ascii="Times New Roman" w:hAnsi="Times New Roman" w:cs="Times New Roman"/>
          <w:color w:val="auto"/>
          <w:highlight w:val="none"/>
          <w:lang w:val="en-US" w:eastAsia="zh-CN"/>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76" w:name="_Toc6685"/>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13</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电源</w:t>
      </w:r>
      <w:bookmarkEnd w:id="76"/>
    </w:p>
    <w:p>
      <w:pPr>
        <w:rPr>
          <w:b/>
          <w:highlight w:val="none"/>
        </w:rPr>
      </w:pPr>
    </w:p>
    <w:p>
      <w:pPr>
        <w:spacing w:after="156" w:afterLines="50"/>
        <w:rPr>
          <w:rFonts w:hint="eastAsia" w:ascii="楷体" w:hAnsi="楷体" w:eastAsia="楷体"/>
          <w:szCs w:val="22"/>
          <w:highlight w:val="none"/>
          <w:lang w:eastAsia="zh-CN"/>
        </w:rPr>
      </w:pPr>
      <w:r>
        <w:rPr>
          <w:rFonts w:hint="eastAsia" w:ascii="楷体" w:hAnsi="楷体" w:eastAsia="楷体"/>
          <w:szCs w:val="22"/>
          <w:highlight w:val="none"/>
          <w:lang w:eastAsia="zh-CN"/>
        </w:rPr>
        <w:t>删除</w:t>
      </w:r>
      <w:r>
        <w:rPr>
          <w:rFonts w:hint="eastAsia" w:ascii="楷体" w:hAnsi="楷体" w:eastAsia="楷体"/>
          <w:szCs w:val="22"/>
          <w:highlight w:val="none"/>
          <w:lang w:val="en-US" w:eastAsia="zh-CN"/>
        </w:rPr>
        <w:t>原2中</w:t>
      </w:r>
      <w:r>
        <w:rPr>
          <w:rFonts w:hint="eastAsia" w:ascii="楷体" w:hAnsi="楷体" w:eastAsia="楷体"/>
          <w:szCs w:val="22"/>
          <w:highlight w:val="none"/>
          <w:lang w:eastAsia="zh-CN"/>
        </w:rPr>
        <w:t>第2句中的“Inmarsat”。</w:t>
      </w:r>
    </w:p>
    <w:p>
      <w:pPr>
        <w:spacing w:after="156" w:afterLines="50" w:line="360" w:lineRule="auto"/>
        <w:ind w:firstLine="420" w:firstLineChars="200"/>
        <w:rPr>
          <w:rFonts w:ascii="宋体" w:hAnsi="宋体"/>
          <w:sz w:val="21"/>
          <w:szCs w:val="21"/>
          <w:highlight w:val="none"/>
        </w:rPr>
      </w:pPr>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77" w:name="_Toc27596"/>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14</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性能标准</w:t>
      </w:r>
      <w:bookmarkEnd w:id="77"/>
    </w:p>
    <w:p>
      <w:pPr>
        <w:rPr>
          <w:b/>
          <w:highlight w:val="none"/>
        </w:rPr>
      </w:pPr>
    </w:p>
    <w:p>
      <w:pPr>
        <w:spacing w:after="156" w:afterLines="50"/>
        <w:rPr>
          <w:rFonts w:hint="eastAsia" w:ascii="楷体" w:hAnsi="楷体" w:eastAsia="楷体"/>
          <w:szCs w:val="22"/>
          <w:highlight w:val="none"/>
          <w:lang w:eastAsia="zh-CN"/>
        </w:rPr>
      </w:pPr>
      <w:r>
        <w:rPr>
          <w:rFonts w:hint="eastAsia" w:ascii="楷体" w:hAnsi="楷体" w:eastAsia="楷体"/>
          <w:szCs w:val="22"/>
          <w:highlight w:val="none"/>
          <w:lang w:val="en-US" w:eastAsia="zh-CN"/>
        </w:rPr>
        <w:t>原1中</w:t>
      </w:r>
      <w:r>
        <w:rPr>
          <w:rFonts w:hint="eastAsia" w:ascii="楷体" w:hAnsi="楷体" w:eastAsia="楷体"/>
          <w:szCs w:val="22"/>
          <w:highlight w:val="none"/>
          <w:lang w:eastAsia="zh-CN"/>
        </w:rPr>
        <w:t>脚注</w:t>
      </w:r>
      <w:r>
        <w:rPr>
          <w:rFonts w:hint="eastAsia" w:ascii="楷体" w:hAnsi="楷体" w:eastAsia="楷体"/>
          <w:szCs w:val="22"/>
          <w:highlight w:val="none"/>
          <w:lang w:eastAsia="zh-CN"/>
        </w:rPr>
        <w:fldChar w:fldCharType="begin"/>
      </w:r>
      <w:r>
        <w:rPr>
          <w:rFonts w:hint="eastAsia" w:ascii="楷体" w:hAnsi="楷体" w:eastAsia="楷体"/>
          <w:szCs w:val="22"/>
          <w:highlight w:val="none"/>
          <w:lang w:eastAsia="zh-CN"/>
        </w:rPr>
        <w:instrText xml:space="preserve"> = 1 \* GB3 \* MERGEFORMAT </w:instrText>
      </w:r>
      <w:r>
        <w:rPr>
          <w:rFonts w:hint="eastAsia" w:ascii="楷体" w:hAnsi="楷体" w:eastAsia="楷体"/>
          <w:szCs w:val="22"/>
          <w:highlight w:val="none"/>
          <w:lang w:eastAsia="zh-CN"/>
        </w:rPr>
        <w:fldChar w:fldCharType="separate"/>
      </w:r>
      <w:r>
        <w:rPr>
          <w:highlight w:val="none"/>
        </w:rPr>
        <w:t>①</w:t>
      </w:r>
      <w:r>
        <w:rPr>
          <w:rFonts w:hint="eastAsia" w:ascii="楷体" w:hAnsi="楷体" w:eastAsia="楷体"/>
          <w:szCs w:val="22"/>
          <w:highlight w:val="none"/>
          <w:lang w:eastAsia="zh-CN"/>
        </w:rPr>
        <w:fldChar w:fldCharType="end"/>
      </w:r>
      <w:r>
        <w:rPr>
          <w:rFonts w:hint="eastAsia" w:ascii="楷体" w:hAnsi="楷体" w:eastAsia="楷体"/>
          <w:szCs w:val="22"/>
          <w:highlight w:val="none"/>
          <w:lang w:eastAsia="zh-CN"/>
        </w:rPr>
        <w:t>的.</w:t>
      </w:r>
      <w:r>
        <w:rPr>
          <w:rFonts w:hint="eastAsia" w:ascii="楷体" w:hAnsi="楷体" w:eastAsia="楷体"/>
          <w:szCs w:val="22"/>
          <w:highlight w:val="none"/>
          <w:lang w:val="en-US" w:eastAsia="zh-CN"/>
        </w:rPr>
        <w:t>7由以下替代</w:t>
      </w:r>
      <w:r>
        <w:rPr>
          <w:rFonts w:hint="eastAsia" w:ascii="楷体" w:hAnsi="楷体" w:eastAsia="楷体"/>
          <w:szCs w:val="22"/>
          <w:highlight w:val="none"/>
          <w:lang w:eastAsia="zh-CN"/>
        </w:rPr>
        <w:t>：</w:t>
      </w:r>
    </w:p>
    <w:p>
      <w:pPr>
        <w:ind w:firstLine="42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eastAsia="zh-CN"/>
        </w:rPr>
        <w:t>“</w:t>
      </w:r>
      <w:r>
        <w:rPr>
          <w:rFonts w:hint="default" w:ascii="Times New Roman" w:hAnsi="Times New Roman" w:cs="Times New Roman"/>
          <w:color w:val="FF0000"/>
          <w:highlight w:val="none"/>
          <w:u w:val="single"/>
        </w:rPr>
        <w:t>.</w:t>
      </w:r>
      <w:r>
        <w:rPr>
          <w:rFonts w:hint="eastAsia" w:ascii="Times New Roman" w:hAnsi="Times New Roman" w:cs="Times New Roman"/>
          <w:color w:val="FF0000"/>
          <w:highlight w:val="none"/>
          <w:u w:val="single"/>
          <w:lang w:val="en-US" w:eastAsia="zh-CN"/>
        </w:rPr>
        <w:t>7</w:t>
      </w:r>
      <w:r>
        <w:rPr>
          <w:rFonts w:hint="default" w:ascii="Times New Roman" w:hAnsi="Times New Roman" w:cs="Times New Roman"/>
          <w:color w:val="FF0000"/>
          <w:highlight w:val="none"/>
          <w:u w:val="single"/>
        </w:rPr>
        <w:t>　</w:t>
      </w:r>
      <w:r>
        <w:rPr>
          <w:rFonts w:hint="eastAsia" w:ascii="Times New Roman" w:hAnsi="Times New Roman" w:cs="Times New Roman"/>
          <w:color w:val="FF0000"/>
          <w:highlight w:val="none"/>
          <w:u w:val="single"/>
        </w:rPr>
        <w:t>在20</w:t>
      </w:r>
      <w:r>
        <w:rPr>
          <w:rFonts w:hint="eastAsia" w:ascii="Times New Roman" w:hAnsi="Times New Roman" w:cs="Times New Roman"/>
          <w:color w:val="FF0000"/>
          <w:highlight w:val="none"/>
          <w:u w:val="single"/>
          <w:lang w:val="en-US" w:eastAsia="zh-CN"/>
        </w:rPr>
        <w:t>22</w:t>
      </w:r>
      <w:r>
        <w:rPr>
          <w:rFonts w:hint="eastAsia" w:ascii="Times New Roman" w:hAnsi="Times New Roman" w:cs="Times New Roman"/>
          <w:color w:val="FF0000"/>
          <w:highlight w:val="none"/>
          <w:u w:val="single"/>
        </w:rPr>
        <w:t>年</w:t>
      </w:r>
      <w:r>
        <w:rPr>
          <w:rFonts w:hint="eastAsia" w:ascii="Times New Roman" w:hAnsi="Times New Roman" w:cs="Times New Roman"/>
          <w:color w:val="FF0000"/>
          <w:highlight w:val="none"/>
          <w:u w:val="single"/>
          <w:lang w:val="en-US" w:eastAsia="zh-CN"/>
        </w:rPr>
        <w:t>7</w:t>
      </w:r>
      <w:r>
        <w:rPr>
          <w:rFonts w:hint="eastAsia" w:ascii="Times New Roman" w:hAnsi="Times New Roman" w:cs="Times New Roman"/>
          <w:color w:val="FF0000"/>
          <w:highlight w:val="none"/>
          <w:u w:val="single"/>
        </w:rPr>
        <w:t>月1日</w:t>
      </w:r>
      <w:r>
        <w:rPr>
          <w:rFonts w:hint="eastAsia" w:ascii="Times New Roman" w:hAnsi="Times New Roman" w:cs="Times New Roman"/>
          <w:color w:val="FF0000"/>
          <w:highlight w:val="none"/>
          <w:u w:val="single"/>
          <w:lang w:eastAsia="zh-CN"/>
        </w:rPr>
        <w:t>之前</w:t>
      </w:r>
      <w:r>
        <w:rPr>
          <w:rFonts w:hint="eastAsia" w:ascii="Times New Roman" w:hAnsi="Times New Roman" w:cs="Times New Roman"/>
          <w:color w:val="FF0000"/>
          <w:highlight w:val="none"/>
          <w:u w:val="single"/>
        </w:rPr>
        <w:t>安装上船的</w:t>
      </w:r>
      <w:r>
        <w:rPr>
          <w:rFonts w:hint="eastAsia" w:ascii="Times New Roman" w:hAnsi="Times New Roman" w:cs="Times New Roman"/>
          <w:color w:val="FF0000"/>
          <w:highlight w:val="none"/>
          <w:u w:val="single"/>
          <w:lang w:val="en-US" w:eastAsia="zh-CN"/>
        </w:rPr>
        <w:t>406MHz EPIRB，其性能应不低于经MSC.56（66）决议和</w:t>
      </w:r>
      <w:r>
        <w:rPr>
          <w:rFonts w:hint="default" w:ascii="Times New Roman" w:hAnsi="Times New Roman" w:cs="Times New Roman"/>
          <w:color w:val="FF0000"/>
          <w:highlight w:val="none"/>
          <w:u w:val="single"/>
        </w:rPr>
        <w:t>MSC.</w:t>
      </w:r>
      <w:r>
        <w:rPr>
          <w:rFonts w:hint="eastAsia" w:ascii="Times New Roman" w:hAnsi="Times New Roman" w:cs="Times New Roman"/>
          <w:color w:val="FF0000"/>
          <w:highlight w:val="none"/>
          <w:u w:val="single"/>
        </w:rPr>
        <w:t>120</w:t>
      </w:r>
      <w:r>
        <w:rPr>
          <w:rFonts w:hint="default" w:ascii="Times New Roman" w:hAnsi="Times New Roman" w:cs="Times New Roman"/>
          <w:color w:val="FF0000"/>
          <w:highlight w:val="none"/>
          <w:u w:val="single"/>
        </w:rPr>
        <w:t>(</w:t>
      </w:r>
      <w:r>
        <w:rPr>
          <w:rFonts w:hint="eastAsia" w:ascii="Times New Roman" w:hAnsi="Times New Roman" w:cs="Times New Roman"/>
          <w:color w:val="FF0000"/>
          <w:highlight w:val="none"/>
          <w:u w:val="single"/>
        </w:rPr>
        <w:t>74</w:t>
      </w:r>
      <w:r>
        <w:rPr>
          <w:rFonts w:hint="default" w:ascii="Times New Roman" w:hAnsi="Times New Roman" w:cs="Times New Roman"/>
          <w:color w:val="FF0000"/>
          <w:highlight w:val="none"/>
          <w:u w:val="single"/>
        </w:rPr>
        <w:t>)</w:t>
      </w:r>
      <w:r>
        <w:rPr>
          <w:rFonts w:hint="eastAsia" w:ascii="Times New Roman" w:hAnsi="Times New Roman" w:cs="Times New Roman"/>
          <w:color w:val="FF0000"/>
          <w:highlight w:val="none"/>
          <w:u w:val="single"/>
          <w:lang w:val="en-US" w:eastAsia="zh-CN"/>
        </w:rPr>
        <w:t>决议</w:t>
      </w:r>
      <w:r>
        <w:rPr>
          <w:rFonts w:hint="eastAsia" w:ascii="Times New Roman" w:hAnsi="Times New Roman" w:cs="Times New Roman"/>
          <w:color w:val="FF0000"/>
          <w:highlight w:val="none"/>
          <w:u w:val="single"/>
          <w:lang w:eastAsia="zh-CN"/>
        </w:rPr>
        <w:t>修正的</w:t>
      </w:r>
      <w:r>
        <w:rPr>
          <w:rFonts w:hint="eastAsia" w:ascii="Times New Roman" w:hAnsi="Times New Roman" w:cs="Times New Roman"/>
          <w:color w:val="FF0000"/>
          <w:highlight w:val="none"/>
          <w:u w:val="single"/>
        </w:rPr>
        <w:t>A.810(19)决议</w:t>
      </w:r>
      <w:r>
        <w:rPr>
          <w:rFonts w:hint="eastAsia" w:ascii="Times New Roman" w:hAnsi="Times New Roman" w:cs="Times New Roman"/>
          <w:color w:val="FF0000"/>
          <w:highlight w:val="none"/>
          <w:u w:val="single"/>
          <w:lang w:eastAsia="zh-CN"/>
        </w:rPr>
        <w:t>通过的</w:t>
      </w:r>
      <w:r>
        <w:rPr>
          <w:rFonts w:hint="default" w:ascii="Times New Roman" w:hAnsi="Times New Roman" w:cs="Times New Roman"/>
          <w:color w:val="FF0000"/>
          <w:highlight w:val="none"/>
          <w:u w:val="single"/>
        </w:rPr>
        <w:t>《在406</w:t>
      </w:r>
      <w:r>
        <w:rPr>
          <w:rFonts w:hint="eastAsia" w:ascii="Times New Roman" w:hAnsi="Times New Roman" w:cs="Times New Roman"/>
          <w:color w:val="FF0000"/>
          <w:highlight w:val="none"/>
          <w:u w:val="single"/>
        </w:rPr>
        <w:t xml:space="preserve"> </w:t>
      </w:r>
      <w:r>
        <w:rPr>
          <w:rFonts w:hint="default" w:ascii="Times New Roman" w:hAnsi="Times New Roman" w:cs="Times New Roman"/>
          <w:color w:val="FF0000"/>
          <w:highlight w:val="none"/>
          <w:u w:val="single"/>
        </w:rPr>
        <w:t>MHz频率上工作的自浮式卫星应急无线电示位标</w:t>
      </w:r>
      <w:r>
        <w:rPr>
          <w:rFonts w:hint="eastAsia" w:ascii="Times New Roman" w:hAnsi="Times New Roman" w:cs="Times New Roman"/>
          <w:color w:val="FF0000"/>
          <w:highlight w:val="none"/>
          <w:u w:val="single"/>
        </w:rPr>
        <w:t>（</w:t>
      </w:r>
      <w:r>
        <w:rPr>
          <w:rFonts w:hint="default" w:ascii="Times New Roman" w:hAnsi="Times New Roman" w:cs="Times New Roman"/>
          <w:color w:val="FF0000"/>
          <w:highlight w:val="none"/>
          <w:u w:val="single"/>
        </w:rPr>
        <w:t>EPIRB</w:t>
      </w:r>
      <w:r>
        <w:rPr>
          <w:rFonts w:hint="eastAsia" w:ascii="Times New Roman" w:hAnsi="Times New Roman" w:cs="Times New Roman"/>
          <w:color w:val="FF0000"/>
          <w:highlight w:val="none"/>
          <w:u w:val="single"/>
        </w:rPr>
        <w:t>s）</w:t>
      </w:r>
      <w:r>
        <w:rPr>
          <w:rFonts w:hint="default" w:ascii="Times New Roman" w:hAnsi="Times New Roman" w:cs="Times New Roman"/>
          <w:color w:val="FF0000"/>
          <w:highlight w:val="none"/>
          <w:u w:val="single"/>
        </w:rPr>
        <w:t>的性能标准》</w:t>
      </w:r>
      <w:r>
        <w:rPr>
          <w:rFonts w:hint="eastAsia" w:ascii="Times New Roman" w:hAnsi="Times New Roman" w:cs="Times New Roman"/>
          <w:color w:val="FF0000"/>
          <w:highlight w:val="none"/>
          <w:u w:val="single"/>
          <w:lang w:eastAsia="zh-CN"/>
        </w:rPr>
        <w:t>，型式认可标准应不低于</w:t>
      </w:r>
      <w:r>
        <w:rPr>
          <w:rFonts w:hint="default" w:ascii="Times New Roman" w:hAnsi="Times New Roman" w:cs="Times New Roman"/>
          <w:color w:val="FF0000"/>
          <w:highlight w:val="none"/>
          <w:u w:val="single"/>
        </w:rPr>
        <w:t>A.696(17)决议</w:t>
      </w:r>
      <w:r>
        <w:rPr>
          <w:rFonts w:hint="eastAsia" w:ascii="Times New Roman" w:hAnsi="Times New Roman" w:cs="Times New Roman"/>
          <w:color w:val="FF0000"/>
          <w:highlight w:val="none"/>
          <w:u w:val="single"/>
          <w:lang w:eastAsia="zh-CN"/>
        </w:rPr>
        <w:t>的标准；</w:t>
      </w:r>
      <w:r>
        <w:rPr>
          <w:rFonts w:hint="eastAsia" w:ascii="Times New Roman" w:hAnsi="Times New Roman" w:cs="Times New Roman"/>
          <w:color w:val="FF0000"/>
          <w:highlight w:val="none"/>
          <w:u w:val="single"/>
        </w:rPr>
        <w:t>在20</w:t>
      </w:r>
      <w:r>
        <w:rPr>
          <w:rFonts w:hint="eastAsia" w:ascii="Times New Roman" w:hAnsi="Times New Roman" w:cs="Times New Roman"/>
          <w:color w:val="FF0000"/>
          <w:highlight w:val="none"/>
          <w:u w:val="single"/>
          <w:lang w:val="en-US" w:eastAsia="zh-CN"/>
        </w:rPr>
        <w:t>22</w:t>
      </w:r>
      <w:r>
        <w:rPr>
          <w:rFonts w:hint="eastAsia" w:ascii="Times New Roman" w:hAnsi="Times New Roman" w:cs="Times New Roman"/>
          <w:color w:val="FF0000"/>
          <w:highlight w:val="none"/>
          <w:u w:val="single"/>
        </w:rPr>
        <w:t>年</w:t>
      </w:r>
      <w:r>
        <w:rPr>
          <w:rFonts w:hint="eastAsia" w:ascii="Times New Roman" w:hAnsi="Times New Roman" w:cs="Times New Roman"/>
          <w:color w:val="FF0000"/>
          <w:highlight w:val="none"/>
          <w:u w:val="single"/>
          <w:lang w:val="en-US" w:eastAsia="zh-CN"/>
        </w:rPr>
        <w:t>7</w:t>
      </w:r>
      <w:r>
        <w:rPr>
          <w:rFonts w:hint="eastAsia" w:ascii="Times New Roman" w:hAnsi="Times New Roman" w:cs="Times New Roman"/>
          <w:color w:val="FF0000"/>
          <w:highlight w:val="none"/>
          <w:u w:val="single"/>
        </w:rPr>
        <w:t>月1日</w:t>
      </w:r>
      <w:r>
        <w:rPr>
          <w:rFonts w:hint="eastAsia" w:ascii="Times New Roman" w:hAnsi="Times New Roman" w:cs="Times New Roman"/>
          <w:color w:val="FF0000"/>
          <w:highlight w:val="none"/>
          <w:u w:val="single"/>
          <w:lang w:eastAsia="zh-CN"/>
        </w:rPr>
        <w:t>及以后</w:t>
      </w:r>
      <w:r>
        <w:rPr>
          <w:rFonts w:hint="eastAsia" w:ascii="Times New Roman" w:hAnsi="Times New Roman" w:cs="Times New Roman"/>
          <w:color w:val="FF0000"/>
          <w:highlight w:val="none"/>
          <w:u w:val="single"/>
        </w:rPr>
        <w:t>安装上船的</w:t>
      </w:r>
      <w:r>
        <w:rPr>
          <w:rFonts w:hint="eastAsia" w:ascii="Times New Roman" w:hAnsi="Times New Roman" w:cs="Times New Roman"/>
          <w:color w:val="FF0000"/>
          <w:highlight w:val="none"/>
          <w:u w:val="single"/>
          <w:lang w:val="en-US" w:eastAsia="zh-CN"/>
        </w:rPr>
        <w:t>406MHz EPIRB，其性能应</w:t>
      </w:r>
      <w:r>
        <w:rPr>
          <w:rFonts w:hint="eastAsia" w:ascii="Times New Roman" w:hAnsi="Times New Roman" w:cs="Times New Roman"/>
          <w:color w:val="FF0000"/>
          <w:highlight w:val="none"/>
          <w:u w:val="single"/>
        </w:rPr>
        <w:t>不低于MSC.</w:t>
      </w:r>
      <w:r>
        <w:rPr>
          <w:rFonts w:hint="eastAsia" w:ascii="Times New Roman" w:hAnsi="Times New Roman" w:cs="Times New Roman"/>
          <w:color w:val="FF0000"/>
          <w:highlight w:val="none"/>
          <w:u w:val="single"/>
          <w:lang w:val="en-US" w:eastAsia="zh-CN"/>
        </w:rPr>
        <w:t>471</w:t>
      </w:r>
      <w:r>
        <w:rPr>
          <w:rFonts w:hint="eastAsia" w:ascii="Times New Roman" w:hAnsi="Times New Roman" w:cs="Times New Roman"/>
          <w:color w:val="FF0000"/>
          <w:highlight w:val="none"/>
          <w:u w:val="single"/>
        </w:rPr>
        <w:t>(</w:t>
      </w:r>
      <w:r>
        <w:rPr>
          <w:rFonts w:hint="eastAsia" w:ascii="Times New Roman" w:hAnsi="Times New Roman" w:cs="Times New Roman"/>
          <w:color w:val="FF0000"/>
          <w:highlight w:val="none"/>
          <w:u w:val="single"/>
          <w:lang w:val="en-US" w:eastAsia="zh-CN"/>
        </w:rPr>
        <w:t>101</w:t>
      </w:r>
      <w:r>
        <w:rPr>
          <w:rFonts w:hint="eastAsia" w:ascii="Times New Roman" w:hAnsi="Times New Roman" w:cs="Times New Roman"/>
          <w:color w:val="FF0000"/>
          <w:highlight w:val="none"/>
          <w:u w:val="single"/>
        </w:rPr>
        <w:t>)决议通过的</w:t>
      </w:r>
      <w:r>
        <w:rPr>
          <w:rFonts w:hint="default" w:ascii="Times New Roman" w:hAnsi="Times New Roman" w:cs="Times New Roman"/>
          <w:color w:val="FF0000"/>
          <w:highlight w:val="none"/>
          <w:u w:val="single"/>
        </w:rPr>
        <w:t>《在406</w:t>
      </w:r>
      <w:r>
        <w:rPr>
          <w:rFonts w:hint="eastAsia" w:ascii="Times New Roman" w:hAnsi="Times New Roman" w:cs="Times New Roman"/>
          <w:color w:val="FF0000"/>
          <w:highlight w:val="none"/>
          <w:u w:val="single"/>
        </w:rPr>
        <w:t xml:space="preserve"> </w:t>
      </w:r>
      <w:r>
        <w:rPr>
          <w:rFonts w:hint="default" w:ascii="Times New Roman" w:hAnsi="Times New Roman" w:cs="Times New Roman"/>
          <w:color w:val="FF0000"/>
          <w:highlight w:val="none"/>
          <w:u w:val="single"/>
        </w:rPr>
        <w:t>MHz频率上工作的自浮式卫星应急无线电示位标</w:t>
      </w:r>
      <w:r>
        <w:rPr>
          <w:rFonts w:hint="eastAsia" w:ascii="Times New Roman" w:hAnsi="Times New Roman" w:cs="Times New Roman"/>
          <w:color w:val="FF0000"/>
          <w:highlight w:val="none"/>
          <w:u w:val="single"/>
        </w:rPr>
        <w:t>（</w:t>
      </w:r>
      <w:r>
        <w:rPr>
          <w:rFonts w:hint="default" w:ascii="Times New Roman" w:hAnsi="Times New Roman" w:cs="Times New Roman"/>
          <w:color w:val="FF0000"/>
          <w:highlight w:val="none"/>
          <w:u w:val="single"/>
        </w:rPr>
        <w:t>EPIRB</w:t>
      </w:r>
      <w:r>
        <w:rPr>
          <w:rFonts w:hint="eastAsia" w:ascii="Times New Roman" w:hAnsi="Times New Roman" w:cs="Times New Roman"/>
          <w:color w:val="FF0000"/>
          <w:highlight w:val="none"/>
          <w:u w:val="single"/>
        </w:rPr>
        <w:t>s）</w:t>
      </w:r>
      <w:r>
        <w:rPr>
          <w:rFonts w:hint="default" w:ascii="Times New Roman" w:hAnsi="Times New Roman" w:cs="Times New Roman"/>
          <w:color w:val="FF0000"/>
          <w:highlight w:val="none"/>
          <w:u w:val="single"/>
        </w:rPr>
        <w:t>的性能标准》</w:t>
      </w:r>
      <w:r>
        <w:rPr>
          <w:rFonts w:hint="eastAsia" w:ascii="Times New Roman" w:hAnsi="Times New Roman" w:cs="Times New Roman"/>
          <w:color w:val="FF0000"/>
          <w:highlight w:val="none"/>
          <w:u w:val="single"/>
          <w:lang w:eastAsia="zh-CN"/>
        </w:rPr>
        <w:t>。</w:t>
      </w:r>
      <w:r>
        <w:rPr>
          <w:rFonts w:hint="eastAsia" w:ascii="Times New Roman" w:hAnsi="Times New Roman" w:cs="Times New Roman"/>
          <w:color w:val="auto"/>
          <w:highlight w:val="none"/>
          <w:lang w:eastAsia="zh-CN"/>
        </w:rPr>
        <w:t>”</w:t>
      </w:r>
    </w:p>
    <w:p>
      <w:pPr>
        <w:spacing w:after="156" w:afterLines="50" w:line="360" w:lineRule="auto"/>
        <w:ind w:firstLine="420" w:firstLineChars="200"/>
        <w:rPr>
          <w:rFonts w:ascii="宋体" w:hAnsi="宋体"/>
          <w:sz w:val="21"/>
          <w:szCs w:val="21"/>
          <w:highlight w:val="none"/>
        </w:rPr>
      </w:pPr>
    </w:p>
    <w:p>
      <w:pPr>
        <w:rPr>
          <w:rFonts w:ascii="宋体" w:hAnsi="宋体"/>
          <w:b/>
          <w:szCs w:val="24"/>
          <w:highlight w:val="none"/>
        </w:rPr>
      </w:pPr>
      <w:r>
        <w:rPr>
          <w:rFonts w:ascii="宋体" w:hAnsi="宋体"/>
          <w:b/>
          <w:szCs w:val="24"/>
          <w:highlight w:val="none"/>
        </w:rPr>
        <w:br w:type="page"/>
      </w:r>
    </w:p>
    <w:p>
      <w:pPr>
        <w:pStyle w:val="2"/>
        <w:spacing w:after="120"/>
        <w:ind w:left="0"/>
        <w:jc w:val="center"/>
        <w:rPr>
          <w:rFonts w:cstheme="minorBidi"/>
          <w:bCs w:val="0"/>
          <w:caps w:val="0"/>
          <w:kern w:val="2"/>
          <w:sz w:val="32"/>
          <w:highlight w:val="none"/>
          <w:lang w:val="en-US"/>
        </w:rPr>
      </w:pPr>
      <w:bookmarkStart w:id="78" w:name="_Toc13534"/>
      <w:r>
        <w:rPr>
          <w:rFonts w:cstheme="minorBidi"/>
          <w:bCs w:val="0"/>
          <w:caps w:val="0"/>
          <w:kern w:val="2"/>
          <w:sz w:val="32"/>
          <w:highlight w:val="none"/>
          <w:lang w:val="en-US"/>
        </w:rPr>
        <w:t>第5章　航行</w:t>
      </w:r>
      <w:r>
        <w:rPr>
          <w:rFonts w:hint="eastAsia" w:cstheme="minorBidi"/>
          <w:bCs w:val="0"/>
          <w:caps w:val="0"/>
          <w:kern w:val="2"/>
          <w:sz w:val="32"/>
          <w:highlight w:val="none"/>
          <w:lang w:val="en-US"/>
        </w:rPr>
        <w:t>设备（SOLAS公约第V章）</w:t>
      </w:r>
      <w:bookmarkEnd w:id="78"/>
    </w:p>
    <w:p>
      <w:pPr>
        <w:rPr>
          <w:highlight w:val="none"/>
        </w:rPr>
      </w:pPr>
    </w:p>
    <w:p>
      <w:pPr>
        <w:pStyle w:val="3"/>
        <w:ind w:left="0"/>
        <w:jc w:val="center"/>
        <w:rPr>
          <w:rFonts w:hint="eastAsia" w:ascii="Times New Roman" w:hAnsi="Times New Roman" w:cstheme="minorBidi"/>
          <w:bCs w:val="0"/>
          <w:caps w:val="0"/>
          <w:kern w:val="0"/>
          <w:sz w:val="21"/>
          <w:szCs w:val="21"/>
          <w:highlight w:val="none"/>
          <w:lang w:val="en-US"/>
        </w:rPr>
      </w:pPr>
      <w:bookmarkStart w:id="79" w:name="_Toc27384"/>
      <w:r>
        <w:rPr>
          <w:rFonts w:hint="eastAsia" w:ascii="Times New Roman" w:hAnsi="Times New Roman" w:cstheme="minorBidi"/>
          <w:bCs w:val="0"/>
          <w:caps w:val="0"/>
          <w:kern w:val="0"/>
          <w:sz w:val="21"/>
          <w:szCs w:val="21"/>
          <w:highlight w:val="none"/>
          <w:lang w:val="en-US"/>
        </w:rPr>
        <w:t>第15条　关于驾驶台设计、航行系统和设备的设计和布置以及驾驶台程序的原则</w:t>
      </w:r>
      <w:bookmarkEnd w:id="79"/>
    </w:p>
    <w:p>
      <w:pPr>
        <w:spacing w:after="156" w:afterLines="50"/>
        <w:rPr>
          <w:rFonts w:ascii="楷体" w:hAnsi="楷体" w:eastAsia="楷体"/>
          <w:szCs w:val="22"/>
          <w:highlight w:val="none"/>
        </w:rPr>
      </w:pPr>
    </w:p>
    <w:p>
      <w:pPr>
        <w:spacing w:after="156" w:afterLines="50"/>
        <w:rPr>
          <w:rFonts w:ascii="楷体" w:hAnsi="楷体" w:eastAsia="楷体"/>
          <w:szCs w:val="22"/>
          <w:highlight w:val="none"/>
        </w:rPr>
      </w:pPr>
      <w:r>
        <w:rPr>
          <w:rFonts w:hint="eastAsia" w:ascii="楷体" w:hAnsi="楷体" w:eastAsia="楷体"/>
          <w:szCs w:val="22"/>
          <w:highlight w:val="none"/>
          <w:lang w:eastAsia="zh-CN"/>
        </w:rPr>
        <w:t>本条内原</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4 \* GB3 \* MERGEFORMAT </w:instrText>
      </w:r>
      <w:r>
        <w:rPr>
          <w:rFonts w:hint="eastAsia" w:ascii="楷体" w:hAnsi="楷体" w:eastAsia="楷体"/>
          <w:szCs w:val="22"/>
          <w:highlight w:val="none"/>
        </w:rPr>
        <w:fldChar w:fldCharType="separate"/>
      </w:r>
      <w:r>
        <w:t>④</w:t>
      </w:r>
      <w:r>
        <w:rPr>
          <w:rFonts w:hint="eastAsia" w:ascii="楷体" w:hAnsi="楷体" w:eastAsia="楷体"/>
          <w:szCs w:val="22"/>
          <w:highlight w:val="none"/>
        </w:rPr>
        <w:fldChar w:fldCharType="end"/>
      </w:r>
      <w:r>
        <w:rPr>
          <w:rFonts w:hint="eastAsia" w:ascii="楷体" w:hAnsi="楷体" w:eastAsia="楷体"/>
          <w:highlight w:val="none"/>
          <w:lang w:val="en-US" w:eastAsia="zh-CN"/>
        </w:rPr>
        <w:t>改为</w:t>
      </w:r>
      <w:r>
        <w:rPr>
          <w:rFonts w:ascii="楷体" w:hAnsi="楷体" w:eastAsia="楷体"/>
          <w:szCs w:val="22"/>
          <w:highlight w:val="none"/>
        </w:rPr>
        <w:t>：</w:t>
      </w:r>
    </w:p>
    <w:p>
      <w:pPr>
        <w:ind w:firstLine="420" w:firstLineChars="200"/>
        <w:rPr>
          <w:rFonts w:hint="default" w:ascii="Times New Roman" w:hAnsi="Times New Roman" w:cs="Times New Roman"/>
          <w:szCs w:val="22"/>
          <w:highlight w:val="none"/>
        </w:rPr>
      </w:pPr>
      <w:r>
        <w:rPr>
          <w:rFonts w:hint="eastAsia" w:ascii="Times New Roman" w:hAnsi="Times New Roman" w:cs="Times New Roman"/>
          <w:szCs w:val="22"/>
          <w:highlight w:val="none"/>
          <w:lang w:eastAsia="zh-CN"/>
        </w:rPr>
        <w:t>“</w:t>
      </w:r>
      <w:r>
        <w:rPr>
          <w:rFonts w:hint="default" w:ascii="Times New Roman" w:hAnsi="Times New Roman" w:cs="Times New Roman"/>
          <w:szCs w:val="22"/>
          <w:highlight w:val="none"/>
        </w:rPr>
        <w:fldChar w:fldCharType="begin"/>
      </w:r>
      <w:r>
        <w:rPr>
          <w:rFonts w:hint="default" w:ascii="Times New Roman" w:hAnsi="Times New Roman" w:cs="Times New Roman"/>
          <w:szCs w:val="22"/>
          <w:highlight w:val="none"/>
        </w:rPr>
        <w:instrText xml:space="preserve"> = 4 \* GB3 \* MERGEFORMAT </w:instrText>
      </w:r>
      <w:r>
        <w:rPr>
          <w:rFonts w:hint="default" w:ascii="Times New Roman" w:hAnsi="Times New Roman" w:cs="Times New Roman"/>
          <w:szCs w:val="22"/>
          <w:highlight w:val="none"/>
        </w:rPr>
        <w:fldChar w:fldCharType="separate"/>
      </w:r>
      <w:r>
        <w:t>④</w:t>
      </w:r>
      <w:r>
        <w:rPr>
          <w:rFonts w:hint="default" w:ascii="Times New Roman" w:hAnsi="Times New Roman" w:cs="Times New Roman"/>
          <w:szCs w:val="22"/>
          <w:highlight w:val="none"/>
        </w:rPr>
        <w:fldChar w:fldCharType="end"/>
      </w:r>
      <w:r>
        <w:rPr>
          <w:rFonts w:hint="default" w:ascii="Times New Roman" w:hAnsi="Times New Roman" w:cs="Times New Roman"/>
          <w:color w:val="auto"/>
          <w:highlight w:val="none"/>
        </w:rPr>
        <w:t>参见《驾驶台设备和布置的人机工程学衡准指南》（MSC/Circ.982号通函）、IBS性能标准（MSC.64(67)决议，附件1）、INS性能标准（在2011年1月1日及以后安装上船的INS应不低于MSC.252(83)决议通过的性能标准；在2011年1月1日之前安装上船的INS应不低于MSC.86(70)决议通过的性能标准</w:t>
      </w:r>
      <w:r>
        <w:rPr>
          <w:rFonts w:hint="default" w:ascii="Times New Roman" w:hAnsi="Times New Roman" w:cs="Times New Roman"/>
          <w:color w:val="FF0000"/>
          <w:highlight w:val="none"/>
          <w:u w:val="single"/>
          <w:lang w:eastAsia="zh-CN"/>
        </w:rPr>
        <w:t>；</w:t>
      </w:r>
      <w:r>
        <w:rPr>
          <w:rFonts w:hint="default" w:ascii="Times New Roman" w:hAnsi="Times New Roman" w:cs="Times New Roman"/>
          <w:color w:val="FF0000"/>
          <w:szCs w:val="22"/>
          <w:highlight w:val="none"/>
          <w:u w:val="single"/>
        </w:rPr>
        <w:t>2020年7月1日及以后安装的INS设备，</w:t>
      </w:r>
      <w:r>
        <w:rPr>
          <w:rFonts w:hint="default" w:ascii="Times New Roman" w:hAnsi="Times New Roman" w:cs="Times New Roman"/>
          <w:color w:val="FF0000"/>
          <w:szCs w:val="22"/>
          <w:highlight w:val="none"/>
          <w:u w:val="single"/>
          <w:lang w:val="en-US" w:eastAsia="zh-CN"/>
        </w:rPr>
        <w:t>其性能标准</w:t>
      </w:r>
      <w:r>
        <w:rPr>
          <w:rFonts w:hint="default" w:ascii="Times New Roman" w:hAnsi="Times New Roman" w:cs="Times New Roman"/>
          <w:color w:val="FF0000"/>
          <w:szCs w:val="22"/>
          <w:highlight w:val="none"/>
          <w:u w:val="single"/>
        </w:rPr>
        <w:t>应不低于</w:t>
      </w:r>
      <w:r>
        <w:rPr>
          <w:rFonts w:hint="default" w:ascii="Times New Roman" w:hAnsi="Times New Roman" w:cs="Times New Roman"/>
          <w:color w:val="FF0000"/>
          <w:szCs w:val="22"/>
          <w:highlight w:val="none"/>
          <w:u w:val="single"/>
          <w:lang w:val="en-US" w:eastAsia="zh-CN"/>
        </w:rPr>
        <w:t>经</w:t>
      </w:r>
      <w:r>
        <w:rPr>
          <w:rFonts w:hint="default" w:ascii="Times New Roman" w:hAnsi="Times New Roman" w:cs="Times New Roman"/>
          <w:color w:val="FF0000"/>
          <w:szCs w:val="22"/>
          <w:highlight w:val="none"/>
          <w:u w:val="single"/>
        </w:rPr>
        <w:t>MSC.452(99)决议</w:t>
      </w:r>
      <w:r>
        <w:rPr>
          <w:rFonts w:hint="default" w:ascii="Times New Roman" w:hAnsi="Times New Roman" w:cs="Times New Roman"/>
          <w:color w:val="FF0000"/>
          <w:szCs w:val="22"/>
          <w:highlight w:val="none"/>
          <w:u w:val="single"/>
          <w:lang w:val="en-US" w:eastAsia="zh-CN"/>
        </w:rPr>
        <w:t>修订的《经修订的综合导航系统（INS）性能标准》（MSC.252(83)决议）</w:t>
      </w:r>
      <w:r>
        <w:rPr>
          <w:rFonts w:hint="default" w:ascii="Times New Roman" w:hAnsi="Times New Roman" w:cs="Times New Roman"/>
          <w:color w:val="FF0000"/>
          <w:szCs w:val="22"/>
          <w:highlight w:val="none"/>
          <w:u w:val="single"/>
        </w:rPr>
        <w:t>。</w:t>
      </w:r>
      <w:r>
        <w:rPr>
          <w:rFonts w:hint="default" w:ascii="Times New Roman" w:hAnsi="Times New Roman" w:cs="Times New Roman"/>
          <w:color w:val="auto"/>
          <w:highlight w:val="none"/>
        </w:rPr>
        <w:t>）。在应用IBS和INS性能标准时，应注意2014年7月1日及以后上船的产品，应不低于《</w:t>
      </w:r>
      <w:r>
        <w:rPr>
          <w:rFonts w:hint="default" w:ascii="Times New Roman" w:hAnsi="Times New Roman" w:cs="Times New Roman"/>
          <w:bCs/>
          <w:color w:val="auto"/>
          <w:highlight w:val="none"/>
        </w:rPr>
        <w:t>驾驶台报警管理的性能标准》（MSC.302(87)决议）。</w:t>
      </w:r>
      <w:r>
        <w:rPr>
          <w:rFonts w:hint="default" w:ascii="Times New Roman" w:hAnsi="Times New Roman" w:cs="Times New Roman"/>
          <w:szCs w:val="22"/>
          <w:highlight w:val="none"/>
        </w:rPr>
        <w:t>”</w:t>
      </w:r>
    </w:p>
    <w:p>
      <w:pPr>
        <w:ind w:firstLine="420" w:firstLineChars="200"/>
        <w:rPr>
          <w:rFonts w:hint="eastAsia" w:ascii="Times New Roman" w:hAnsi="Times New Roman"/>
          <w:szCs w:val="22"/>
          <w:highlight w:val="none"/>
        </w:rPr>
      </w:pPr>
    </w:p>
    <w:p>
      <w:pPr>
        <w:pStyle w:val="3"/>
        <w:ind w:left="0"/>
        <w:jc w:val="center"/>
        <w:rPr>
          <w:rFonts w:hint="eastAsia" w:ascii="Times New Roman" w:hAnsi="Times New Roman" w:eastAsiaTheme="minorEastAsia" w:cstheme="minorBidi"/>
          <w:bCs w:val="0"/>
          <w:caps w:val="0"/>
          <w:kern w:val="0"/>
          <w:sz w:val="21"/>
          <w:szCs w:val="21"/>
          <w:highlight w:val="none"/>
          <w:lang w:val="en-US" w:eastAsia="zh-CN"/>
        </w:rPr>
      </w:pPr>
      <w:bookmarkStart w:id="80" w:name="_Toc29091"/>
      <w:r>
        <w:rPr>
          <w:rFonts w:hint="eastAsia" w:ascii="Times New Roman" w:hAnsi="Times New Roman" w:cstheme="minorBidi"/>
          <w:bCs w:val="0"/>
          <w:caps w:val="0"/>
          <w:kern w:val="0"/>
          <w:sz w:val="21"/>
          <w:szCs w:val="21"/>
          <w:highlight w:val="none"/>
          <w:lang w:val="en-US" w:eastAsia="zh-CN"/>
        </w:rPr>
        <w:t>第18条　航行系统和设备以及航行数据记录仪下的认可、检验和性能标准</w:t>
      </w:r>
      <w:bookmarkEnd w:id="80"/>
    </w:p>
    <w:p>
      <w:pPr>
        <w:rPr>
          <w:rFonts w:hint="eastAsia" w:ascii="楷体" w:hAnsi="楷体" w:eastAsia="楷体"/>
          <w:szCs w:val="22"/>
          <w:highlight w:val="none"/>
          <w:lang w:eastAsia="zh-CN"/>
        </w:rPr>
      </w:pPr>
    </w:p>
    <w:p>
      <w:pPr>
        <w:rPr>
          <w:rFonts w:hint="eastAsia" w:ascii="楷体" w:hAnsi="楷体" w:eastAsia="楷体"/>
          <w:szCs w:val="22"/>
          <w:highlight w:val="none"/>
          <w:lang w:eastAsia="zh-CN"/>
        </w:rPr>
      </w:pPr>
      <w:r>
        <w:rPr>
          <w:rFonts w:hint="eastAsia" w:ascii="楷体" w:hAnsi="楷体" w:eastAsia="楷体"/>
          <w:szCs w:val="22"/>
          <w:highlight w:val="none"/>
          <w:lang w:val="en-US" w:eastAsia="zh-CN"/>
        </w:rPr>
        <w:t>原2中</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2 \* GB3 \* MERGEFORMAT </w:instrText>
      </w:r>
      <w:r>
        <w:rPr>
          <w:rFonts w:hint="eastAsia" w:ascii="楷体" w:hAnsi="楷体" w:eastAsia="楷体"/>
          <w:szCs w:val="22"/>
          <w:highlight w:val="none"/>
        </w:rPr>
        <w:fldChar w:fldCharType="separate"/>
      </w:r>
      <w:r>
        <w:t>②</w:t>
      </w:r>
      <w:r>
        <w:rPr>
          <w:rFonts w:hint="eastAsia" w:ascii="楷体" w:hAnsi="楷体" w:eastAsia="楷体"/>
          <w:szCs w:val="22"/>
          <w:highlight w:val="none"/>
        </w:rPr>
        <w:fldChar w:fldCharType="end"/>
      </w:r>
      <w:r>
        <w:rPr>
          <w:rFonts w:hint="eastAsia" w:ascii="楷体" w:hAnsi="楷体" w:eastAsia="楷体"/>
          <w:szCs w:val="22"/>
          <w:highlight w:val="none"/>
          <w:lang w:eastAsia="zh-CN"/>
        </w:rPr>
        <w:t>中的</w:t>
      </w:r>
      <w:r>
        <w:rPr>
          <w:rFonts w:hint="eastAsia" w:ascii="楷体" w:hAnsi="楷体" w:eastAsia="楷体"/>
          <w:szCs w:val="22"/>
          <w:highlight w:val="none"/>
          <w:lang w:val="en-US" w:eastAsia="zh-CN"/>
        </w:rPr>
        <w:t>有关VDRs建议案</w:t>
      </w:r>
      <w:r>
        <w:rPr>
          <w:rFonts w:hint="eastAsia" w:ascii="楷体" w:hAnsi="楷体" w:eastAsia="楷体"/>
          <w:szCs w:val="22"/>
          <w:highlight w:val="none"/>
          <w:lang w:eastAsia="zh-CN"/>
        </w:rPr>
        <w:t>改为</w:t>
      </w:r>
      <w:r>
        <w:rPr>
          <w:rFonts w:ascii="楷体" w:hAnsi="楷体" w:eastAsia="楷体"/>
          <w:szCs w:val="22"/>
          <w:highlight w:val="none"/>
        </w:rPr>
        <w:t>：</w:t>
      </w:r>
    </w:p>
    <w:p>
      <w:pPr>
        <w:ind w:firstLine="420" w:firstLineChars="200"/>
        <w:rPr>
          <w:rFonts w:hint="default" w:ascii="Times New Roman" w:hAnsi="Times New Roman" w:eastAsia="宋体" w:cs="Times New Roman"/>
          <w:color w:val="FF0000"/>
          <w:szCs w:val="22"/>
          <w:highlight w:val="none"/>
          <w:u w:val="single"/>
          <w:lang w:val="en-US" w:eastAsia="zh-CN"/>
        </w:rPr>
      </w:pPr>
      <w:r>
        <w:rPr>
          <w:rFonts w:hint="eastAsia" w:ascii="Times New Roman" w:hAnsi="Times New Roman" w:eastAsia="楷体" w:cs="Times New Roman"/>
          <w:szCs w:val="22"/>
          <w:highlight w:val="none"/>
          <w:lang w:eastAsia="zh-CN"/>
        </w:rPr>
        <w:t>“</w:t>
      </w:r>
      <w:r>
        <w:rPr>
          <w:rFonts w:hint="default" w:ascii="Times New Roman" w:hAnsi="Times New Roman" w:eastAsia="楷体" w:cs="Times New Roman"/>
          <w:szCs w:val="22"/>
          <w:highlight w:val="none"/>
          <w:lang w:eastAsia="zh-CN"/>
        </w:rPr>
        <w:fldChar w:fldCharType="begin"/>
      </w:r>
      <w:r>
        <w:rPr>
          <w:rFonts w:hint="default" w:ascii="Times New Roman" w:hAnsi="Times New Roman" w:eastAsia="楷体" w:cs="Times New Roman"/>
          <w:szCs w:val="22"/>
          <w:highlight w:val="none"/>
          <w:lang w:eastAsia="zh-CN"/>
        </w:rPr>
        <w:instrText xml:space="preserve"> = 2 \* GB3 \* MERGEFORMAT </w:instrText>
      </w:r>
      <w:r>
        <w:rPr>
          <w:rFonts w:hint="default" w:ascii="Times New Roman" w:hAnsi="Times New Roman" w:eastAsia="楷体" w:cs="Times New Roman"/>
          <w:szCs w:val="22"/>
          <w:highlight w:val="none"/>
          <w:lang w:eastAsia="zh-CN"/>
        </w:rPr>
        <w:fldChar w:fldCharType="separate"/>
      </w:r>
      <w:r>
        <w:t>②</w:t>
      </w:r>
      <w:r>
        <w:rPr>
          <w:rFonts w:hint="default" w:ascii="Times New Roman" w:hAnsi="Times New Roman" w:eastAsia="楷体" w:cs="Times New Roman"/>
          <w:szCs w:val="22"/>
          <w:highlight w:val="none"/>
          <w:lang w:eastAsia="zh-CN"/>
        </w:rPr>
        <w:fldChar w:fldCharType="end"/>
      </w:r>
      <w:r>
        <w:rPr>
          <w:rFonts w:hint="eastAsia" w:ascii="Times New Roman" w:hAnsi="Times New Roman" w:eastAsia="宋体" w:cs="Times New Roman"/>
          <w:strike/>
          <w:dstrike w:val="0"/>
          <w:color w:val="FF0000"/>
          <w:szCs w:val="22"/>
          <w:highlight w:val="none"/>
          <w:u w:val="none"/>
          <w:lang w:eastAsia="zh-CN"/>
        </w:rPr>
        <w:t>《</w:t>
      </w:r>
      <w:r>
        <w:rPr>
          <w:rFonts w:hint="default" w:ascii="Times New Roman" w:hAnsi="Times New Roman" w:eastAsia="宋体" w:cs="Times New Roman"/>
          <w:strike/>
          <w:dstrike w:val="0"/>
          <w:color w:val="FF0000"/>
          <w:szCs w:val="22"/>
          <w:highlight w:val="none"/>
          <w:u w:val="none"/>
          <w:lang w:eastAsia="zh-CN"/>
        </w:rPr>
        <w:t>关于航行数据记录仪(</w:t>
      </w:r>
      <w:r>
        <w:rPr>
          <w:rFonts w:hint="eastAsia" w:ascii="Times New Roman" w:hAnsi="Times New Roman" w:eastAsia="宋体" w:cs="Times New Roman"/>
          <w:strike/>
          <w:dstrike w:val="0"/>
          <w:color w:val="FF0000"/>
          <w:szCs w:val="22"/>
          <w:highlight w:val="none"/>
          <w:u w:val="none"/>
          <w:lang w:val="en-US" w:eastAsia="zh-CN"/>
        </w:rPr>
        <w:t>VDRs</w:t>
      </w:r>
      <w:r>
        <w:rPr>
          <w:rFonts w:hint="default" w:ascii="Times New Roman" w:hAnsi="Times New Roman" w:eastAsia="宋体" w:cs="Times New Roman"/>
          <w:strike/>
          <w:dstrike w:val="0"/>
          <w:color w:val="FF0000"/>
          <w:szCs w:val="22"/>
          <w:highlight w:val="none"/>
          <w:u w:val="none"/>
          <w:lang w:eastAsia="zh-CN"/>
        </w:rPr>
        <w:t>)性能标准的建议案</w:t>
      </w:r>
      <w:r>
        <w:rPr>
          <w:rFonts w:hint="eastAsia" w:ascii="Times New Roman" w:hAnsi="Times New Roman" w:eastAsia="宋体" w:cs="Times New Roman"/>
          <w:strike/>
          <w:dstrike w:val="0"/>
          <w:color w:val="FF0000"/>
          <w:szCs w:val="22"/>
          <w:highlight w:val="none"/>
          <w:u w:val="none"/>
          <w:lang w:eastAsia="zh-CN"/>
        </w:rPr>
        <w:t>》</w:t>
      </w:r>
      <w:r>
        <w:rPr>
          <w:rFonts w:hint="default" w:ascii="Times New Roman" w:hAnsi="Times New Roman" w:eastAsia="宋体" w:cs="Times New Roman"/>
          <w:strike/>
          <w:dstrike w:val="0"/>
          <w:color w:val="FF0000"/>
          <w:szCs w:val="22"/>
          <w:highlight w:val="none"/>
          <w:u w:val="none"/>
          <w:lang w:eastAsia="zh-CN"/>
        </w:rPr>
        <w:t>(A.861(20)决议)及其 MSC.214(81)决议通过的修正案</w:t>
      </w:r>
      <w:r>
        <w:rPr>
          <w:rFonts w:hint="eastAsia" w:ascii="Times New Roman" w:hAnsi="Times New Roman" w:eastAsia="宋体" w:cs="Times New Roman"/>
          <w:strike/>
          <w:dstrike w:val="0"/>
          <w:color w:val="FF0000"/>
          <w:szCs w:val="22"/>
          <w:highlight w:val="none"/>
          <w:u w:val="none"/>
          <w:lang w:eastAsia="zh-CN"/>
        </w:rPr>
        <w:t>。</w:t>
      </w:r>
      <w:r>
        <w:rPr>
          <w:rFonts w:hint="default" w:ascii="Times New Roman" w:hAnsi="Times New Roman" w:eastAsia="宋体" w:cs="Times New Roman"/>
          <w:strike/>
          <w:dstrike w:val="0"/>
          <w:color w:val="FF0000"/>
          <w:szCs w:val="22"/>
          <w:highlight w:val="none"/>
          <w:u w:val="none"/>
          <w:lang w:eastAsia="zh-CN"/>
        </w:rPr>
        <w:t xml:space="preserve"> 对</w:t>
      </w:r>
      <w:r>
        <w:rPr>
          <w:rFonts w:hint="eastAsia" w:ascii="Times New Roman" w:hAnsi="Times New Roman" w:eastAsia="宋体" w:cs="Times New Roman"/>
          <w:strike/>
          <w:dstrike w:val="0"/>
          <w:color w:val="FF0000"/>
          <w:szCs w:val="22"/>
          <w:highlight w:val="none"/>
          <w:u w:val="none"/>
          <w:lang w:val="en-US" w:eastAsia="zh-CN"/>
        </w:rPr>
        <w:t>2014</w:t>
      </w:r>
      <w:r>
        <w:rPr>
          <w:rFonts w:hint="default" w:ascii="Times New Roman" w:hAnsi="Times New Roman" w:eastAsia="宋体" w:cs="Times New Roman"/>
          <w:strike/>
          <w:dstrike w:val="0"/>
          <w:color w:val="FF0000"/>
          <w:szCs w:val="22"/>
          <w:highlight w:val="none"/>
          <w:u w:val="none"/>
          <w:lang w:eastAsia="zh-CN"/>
        </w:rPr>
        <w:t>年</w:t>
      </w:r>
      <w:r>
        <w:rPr>
          <w:rFonts w:hint="eastAsia" w:ascii="Times New Roman" w:hAnsi="Times New Roman" w:eastAsia="宋体" w:cs="Times New Roman"/>
          <w:strike/>
          <w:dstrike w:val="0"/>
          <w:color w:val="FF0000"/>
          <w:szCs w:val="22"/>
          <w:highlight w:val="none"/>
          <w:u w:val="none"/>
          <w:lang w:val="en-US" w:eastAsia="zh-CN"/>
        </w:rPr>
        <w:t>7</w:t>
      </w:r>
      <w:r>
        <w:rPr>
          <w:rFonts w:hint="default" w:ascii="Times New Roman" w:hAnsi="Times New Roman" w:eastAsia="宋体" w:cs="Times New Roman"/>
          <w:strike/>
          <w:dstrike w:val="0"/>
          <w:color w:val="FF0000"/>
          <w:szCs w:val="22"/>
          <w:highlight w:val="none"/>
          <w:u w:val="none"/>
          <w:lang w:eastAsia="zh-CN"/>
        </w:rPr>
        <w:t>月</w:t>
      </w:r>
      <w:r>
        <w:rPr>
          <w:rFonts w:hint="eastAsia" w:ascii="Times New Roman" w:hAnsi="Times New Roman" w:eastAsia="宋体" w:cs="Times New Roman"/>
          <w:strike/>
          <w:dstrike w:val="0"/>
          <w:color w:val="FF0000"/>
          <w:szCs w:val="22"/>
          <w:highlight w:val="none"/>
          <w:u w:val="none"/>
          <w:lang w:val="en-US" w:eastAsia="zh-CN"/>
        </w:rPr>
        <w:t>1</w:t>
      </w:r>
      <w:r>
        <w:rPr>
          <w:rFonts w:hint="default" w:ascii="Times New Roman" w:hAnsi="Times New Roman" w:eastAsia="宋体" w:cs="Times New Roman"/>
          <w:strike/>
          <w:dstrike w:val="0"/>
          <w:color w:val="FF0000"/>
          <w:szCs w:val="22"/>
          <w:highlight w:val="none"/>
          <w:u w:val="none"/>
          <w:lang w:eastAsia="zh-CN"/>
        </w:rPr>
        <w:t>日及以后船上安装的产品</w:t>
      </w:r>
      <w:r>
        <w:rPr>
          <w:rFonts w:hint="eastAsia" w:ascii="Times New Roman" w:hAnsi="Times New Roman" w:eastAsia="宋体" w:cs="Times New Roman"/>
          <w:strike/>
          <w:dstrike w:val="0"/>
          <w:color w:val="FF0000"/>
          <w:szCs w:val="22"/>
          <w:highlight w:val="none"/>
          <w:u w:val="none"/>
          <w:lang w:eastAsia="zh-CN"/>
        </w:rPr>
        <w:t>，</w:t>
      </w:r>
      <w:r>
        <w:rPr>
          <w:rFonts w:hint="default" w:ascii="Times New Roman" w:hAnsi="Times New Roman" w:eastAsia="宋体" w:cs="Times New Roman"/>
          <w:strike/>
          <w:dstrike w:val="0"/>
          <w:color w:val="FF0000"/>
          <w:szCs w:val="22"/>
          <w:highlight w:val="none"/>
          <w:u w:val="none"/>
          <w:lang w:eastAsia="zh-CN"/>
        </w:rPr>
        <w:t>其性能标准适用MSC.333(90)决议通过的</w:t>
      </w:r>
      <w:r>
        <w:rPr>
          <w:rFonts w:hint="eastAsia" w:ascii="Times New Roman" w:hAnsi="Times New Roman" w:eastAsia="宋体" w:cs="Times New Roman"/>
          <w:strike/>
          <w:dstrike w:val="0"/>
          <w:color w:val="FF0000"/>
          <w:szCs w:val="22"/>
          <w:highlight w:val="none"/>
          <w:u w:val="none"/>
          <w:lang w:eastAsia="zh-CN"/>
        </w:rPr>
        <w:t>《</w:t>
      </w:r>
      <w:r>
        <w:rPr>
          <w:rFonts w:hint="default" w:ascii="Times New Roman" w:hAnsi="Times New Roman" w:eastAsia="宋体" w:cs="Times New Roman"/>
          <w:strike/>
          <w:dstrike w:val="0"/>
          <w:color w:val="FF0000"/>
          <w:szCs w:val="22"/>
          <w:highlight w:val="none"/>
          <w:u w:val="none"/>
          <w:lang w:eastAsia="zh-CN"/>
        </w:rPr>
        <w:t>船载航行数据记录仪性能标准修正案</w:t>
      </w:r>
      <w:r>
        <w:rPr>
          <w:rFonts w:hint="eastAsia" w:ascii="Times New Roman" w:hAnsi="Times New Roman" w:eastAsia="宋体" w:cs="Times New Roman"/>
          <w:strike/>
          <w:dstrike w:val="0"/>
          <w:color w:val="FF0000"/>
          <w:szCs w:val="22"/>
          <w:highlight w:val="none"/>
          <w:u w:val="none"/>
          <w:lang w:eastAsia="zh-CN"/>
        </w:rPr>
        <w:t>》</w:t>
      </w:r>
      <w:r>
        <w:rPr>
          <w:rFonts w:hint="default" w:ascii="Times New Roman" w:hAnsi="Times New Roman" w:eastAsia="宋体" w:cs="Times New Roman"/>
          <w:strike/>
          <w:dstrike w:val="0"/>
          <w:color w:val="FF0000"/>
          <w:szCs w:val="22"/>
          <w:highlight w:val="none"/>
          <w:u w:val="none"/>
          <w:lang w:eastAsia="zh-CN"/>
        </w:rPr>
        <w:t>的要求</w:t>
      </w:r>
      <w:r>
        <w:rPr>
          <w:rFonts w:hint="default" w:ascii="Times New Roman" w:hAnsi="Times New Roman" w:eastAsia="宋体" w:cs="Times New Roman"/>
          <w:color w:val="FF0000"/>
          <w:szCs w:val="22"/>
          <w:highlight w:val="none"/>
          <w:u w:val="single"/>
          <w:lang w:eastAsia="zh-CN"/>
        </w:rPr>
        <w:t>在2022年7月1日或以后安装的VDR，参见经</w:t>
      </w:r>
      <w:r>
        <w:rPr>
          <w:rFonts w:hint="default" w:ascii="Times New Roman" w:hAnsi="Times New Roman" w:eastAsia="宋体" w:cs="Times New Roman"/>
          <w:color w:val="FF0000"/>
          <w:szCs w:val="22"/>
          <w:highlight w:val="none"/>
          <w:u w:val="single"/>
          <w:lang w:val="en-US" w:eastAsia="zh-CN"/>
        </w:rPr>
        <w:t>MSC.494（104）</w:t>
      </w:r>
      <w:r>
        <w:rPr>
          <w:rFonts w:hint="default" w:ascii="Times New Roman" w:hAnsi="Times New Roman" w:eastAsia="宋体" w:cs="Times New Roman"/>
          <w:color w:val="FF0000"/>
          <w:szCs w:val="22"/>
          <w:highlight w:val="none"/>
          <w:u w:val="single"/>
          <w:lang w:eastAsia="zh-CN"/>
        </w:rPr>
        <w:t>决议对MSC.333(90)决议</w:t>
      </w:r>
      <w:r>
        <w:rPr>
          <w:rFonts w:hint="default" w:ascii="Times New Roman" w:hAnsi="Times New Roman" w:cs="Times New Roman"/>
          <w:strike w:val="0"/>
          <w:dstrike w:val="0"/>
          <w:color w:val="FF0000"/>
          <w:u w:val="single"/>
        </w:rPr>
        <w:t>《关于船载航行数据记录仪（VDR）性能标准的建议案》</w:t>
      </w:r>
      <w:r>
        <w:rPr>
          <w:rFonts w:hint="default" w:ascii="Times New Roman" w:hAnsi="Times New Roman" w:eastAsia="宋体" w:cs="Times New Roman"/>
          <w:color w:val="FF0000"/>
          <w:szCs w:val="22"/>
          <w:highlight w:val="none"/>
          <w:u w:val="single"/>
          <w:lang w:eastAsia="zh-CN"/>
        </w:rPr>
        <w:t>附件修正后所规定的性能标准；在2014年7月1日或以后、但在2022年7月1日以前安装的VDR，参见MSC.333(90)决议</w:t>
      </w:r>
      <w:r>
        <w:rPr>
          <w:rFonts w:hint="default" w:ascii="Times New Roman" w:hAnsi="Times New Roman" w:cs="Times New Roman"/>
          <w:strike w:val="0"/>
          <w:dstrike w:val="0"/>
          <w:color w:val="FF0000"/>
          <w:u w:val="single"/>
        </w:rPr>
        <w:t>《关于船载航行数据记录仪（VDR）性能标准的建议案》</w:t>
      </w:r>
      <w:r>
        <w:rPr>
          <w:rFonts w:hint="default" w:ascii="Times New Roman" w:hAnsi="Times New Roman" w:eastAsia="宋体" w:cs="Times New Roman"/>
          <w:color w:val="FF0000"/>
          <w:szCs w:val="22"/>
          <w:highlight w:val="none"/>
          <w:u w:val="single"/>
          <w:lang w:eastAsia="zh-CN"/>
        </w:rPr>
        <w:t>附件规定的性能标准；在2008年6月1日或以后、但在2014年7月1日以前安装的VDR，参见经MSC.214(81)决议对A.861(20)决议</w:t>
      </w:r>
      <w:r>
        <w:rPr>
          <w:rFonts w:hint="eastAsia" w:ascii="Times New Roman" w:hAnsi="Times New Roman" w:eastAsia="宋体" w:cs="Times New Roman"/>
          <w:strike w:val="0"/>
          <w:dstrike w:val="0"/>
          <w:color w:val="FF0000"/>
          <w:szCs w:val="22"/>
          <w:highlight w:val="none"/>
          <w:u w:val="single"/>
          <w:lang w:eastAsia="zh-CN"/>
        </w:rPr>
        <w:t>《</w:t>
      </w:r>
      <w:r>
        <w:rPr>
          <w:rFonts w:hint="default" w:ascii="Times New Roman" w:hAnsi="Times New Roman" w:cs="Times New Roman"/>
          <w:strike w:val="0"/>
          <w:dstrike w:val="0"/>
          <w:color w:val="FF0000"/>
          <w:u w:val="single"/>
        </w:rPr>
        <w:t>船载航行数据记录仪（VDR）性能标准</w:t>
      </w:r>
      <w:r>
        <w:rPr>
          <w:rFonts w:hint="eastAsia" w:ascii="Times New Roman" w:hAnsi="Times New Roman" w:cs="Times New Roman"/>
          <w:strike w:val="0"/>
          <w:dstrike w:val="0"/>
          <w:color w:val="FF0000"/>
          <w:u w:val="single"/>
          <w:lang w:eastAsia="zh-CN"/>
        </w:rPr>
        <w:t>》</w:t>
      </w:r>
      <w:r>
        <w:rPr>
          <w:rFonts w:hint="default" w:ascii="Times New Roman" w:hAnsi="Times New Roman" w:eastAsia="宋体" w:cs="Times New Roman"/>
          <w:color w:val="FF0000"/>
          <w:szCs w:val="22"/>
          <w:highlight w:val="none"/>
          <w:u w:val="single"/>
          <w:lang w:eastAsia="zh-CN"/>
        </w:rPr>
        <w:t>附件修正后规定的性能标准；在2008年6月1日以前安装的VDR，参见A.861(20)决议</w:t>
      </w:r>
      <w:r>
        <w:rPr>
          <w:rFonts w:hint="eastAsia" w:ascii="Times New Roman" w:hAnsi="Times New Roman" w:eastAsia="宋体" w:cs="Times New Roman"/>
          <w:strike w:val="0"/>
          <w:dstrike w:val="0"/>
          <w:color w:val="FF0000"/>
          <w:szCs w:val="22"/>
          <w:highlight w:val="none"/>
          <w:u w:val="single"/>
          <w:lang w:eastAsia="zh-CN"/>
        </w:rPr>
        <w:t>《</w:t>
      </w:r>
      <w:r>
        <w:rPr>
          <w:rFonts w:hint="default" w:ascii="Times New Roman" w:hAnsi="Times New Roman" w:cs="Times New Roman"/>
          <w:strike w:val="0"/>
          <w:dstrike w:val="0"/>
          <w:color w:val="FF0000"/>
          <w:u w:val="single"/>
        </w:rPr>
        <w:t>船载航行数据记录仪（VDR）性能标准</w:t>
      </w:r>
      <w:r>
        <w:rPr>
          <w:rFonts w:hint="eastAsia" w:ascii="Times New Roman" w:hAnsi="Times New Roman" w:cs="Times New Roman"/>
          <w:strike w:val="0"/>
          <w:dstrike w:val="0"/>
          <w:color w:val="FF0000"/>
          <w:u w:val="single"/>
          <w:lang w:eastAsia="zh-CN"/>
        </w:rPr>
        <w:t>》</w:t>
      </w:r>
      <w:r>
        <w:rPr>
          <w:rFonts w:hint="default" w:ascii="Times New Roman" w:hAnsi="Times New Roman" w:eastAsia="宋体" w:cs="Times New Roman"/>
          <w:color w:val="FF0000"/>
          <w:szCs w:val="22"/>
          <w:highlight w:val="none"/>
          <w:u w:val="single"/>
          <w:lang w:eastAsia="zh-CN"/>
        </w:rPr>
        <w:t>附件规定的性能标准</w:t>
      </w:r>
      <w:r>
        <w:rPr>
          <w:rFonts w:hint="eastAsia" w:ascii="Times New Roman" w:hAnsi="Times New Roman" w:eastAsia="宋体" w:cs="Times New Roman"/>
          <w:color w:val="FF0000"/>
          <w:szCs w:val="22"/>
          <w:highlight w:val="none"/>
          <w:u w:val="single"/>
          <w:lang w:eastAsia="zh-CN"/>
        </w:rPr>
        <w:t>；</w:t>
      </w:r>
      <w:r>
        <w:rPr>
          <w:rFonts w:hint="default" w:ascii="Times New Roman" w:hAnsi="Times New Roman" w:eastAsia="宋体" w:cs="Times New Roman"/>
          <w:color w:val="FF0000"/>
          <w:szCs w:val="22"/>
          <w:highlight w:val="none"/>
          <w:u w:val="single"/>
          <w:lang w:val="en-US" w:eastAsia="zh-CN"/>
        </w:rPr>
        <w:t>”</w:t>
      </w:r>
    </w:p>
    <w:p>
      <w:pPr>
        <w:ind w:firstLine="420" w:firstLineChars="200"/>
        <w:rPr>
          <w:rFonts w:hint="default" w:ascii="Times New Roman" w:hAnsi="Times New Roman" w:eastAsia="宋体" w:cs="Times New Roman"/>
          <w:color w:val="FF0000"/>
          <w:szCs w:val="22"/>
          <w:highlight w:val="none"/>
          <w:u w:val="single"/>
          <w:lang w:val="en-US" w:eastAsia="zh-CN"/>
        </w:rPr>
      </w:pPr>
    </w:p>
    <w:bookmarkEnd w:id="65"/>
    <w:bookmarkEnd w:id="66"/>
    <w:p>
      <w:pPr>
        <w:pStyle w:val="3"/>
        <w:ind w:left="0"/>
        <w:jc w:val="center"/>
        <w:rPr>
          <w:rFonts w:hint="eastAsia" w:ascii="Times New Roman" w:hAnsi="Times New Roman" w:eastAsiaTheme="minorEastAsia" w:cstheme="minorBidi"/>
          <w:bCs w:val="0"/>
          <w:caps w:val="0"/>
          <w:kern w:val="0"/>
          <w:sz w:val="21"/>
          <w:szCs w:val="21"/>
          <w:highlight w:val="none"/>
          <w:lang w:val="en-US" w:eastAsia="zh-CN"/>
        </w:rPr>
      </w:pPr>
      <w:bookmarkStart w:id="81" w:name="_Toc3049"/>
      <w:r>
        <w:rPr>
          <w:rFonts w:hint="eastAsia" w:ascii="Times New Roman" w:hAnsi="Times New Roman" w:cstheme="minorBidi"/>
          <w:bCs w:val="0"/>
          <w:caps w:val="0"/>
          <w:kern w:val="0"/>
          <w:sz w:val="21"/>
          <w:szCs w:val="21"/>
          <w:highlight w:val="none"/>
          <w:lang w:val="en-US"/>
        </w:rPr>
        <w:t>第1</w:t>
      </w:r>
      <w:r>
        <w:rPr>
          <w:rFonts w:hint="eastAsia" w:ascii="Times New Roman" w:hAnsi="Times New Roman" w:cstheme="minorBidi"/>
          <w:bCs w:val="0"/>
          <w:caps w:val="0"/>
          <w:kern w:val="0"/>
          <w:sz w:val="21"/>
          <w:szCs w:val="21"/>
          <w:highlight w:val="none"/>
          <w:lang w:val="en-US" w:eastAsia="zh-CN"/>
        </w:rPr>
        <w:t>9</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船载航行系统和设备的配备要求</w:t>
      </w:r>
      <w:bookmarkEnd w:id="81"/>
    </w:p>
    <w:p>
      <w:pPr>
        <w:spacing w:after="156" w:afterLines="50"/>
        <w:rPr>
          <w:rFonts w:ascii="楷体" w:hAnsi="楷体" w:eastAsia="楷体"/>
          <w:szCs w:val="22"/>
          <w:highlight w:val="none"/>
        </w:rPr>
      </w:pPr>
    </w:p>
    <w:p>
      <w:pPr>
        <w:spacing w:after="156" w:afterLines="50"/>
        <w:rPr>
          <w:rFonts w:ascii="楷体" w:hAnsi="楷体" w:eastAsia="楷体"/>
          <w:szCs w:val="22"/>
          <w:highlight w:val="none"/>
        </w:rPr>
      </w:pPr>
      <w:r>
        <w:rPr>
          <w:rFonts w:hint="eastAsia" w:ascii="楷体" w:hAnsi="楷体" w:eastAsia="楷体"/>
          <w:szCs w:val="22"/>
          <w:highlight w:val="none"/>
          <w:lang w:val="en-US" w:eastAsia="zh-CN"/>
        </w:rPr>
        <w:t>原6中</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3 \* GB3 \* MERGEFORMAT </w:instrText>
      </w:r>
      <w:r>
        <w:rPr>
          <w:rFonts w:hint="eastAsia" w:ascii="楷体" w:hAnsi="楷体" w:eastAsia="楷体"/>
          <w:szCs w:val="22"/>
          <w:highlight w:val="none"/>
        </w:rPr>
        <w:fldChar w:fldCharType="separate"/>
      </w:r>
      <w:r>
        <w:t>③</w:t>
      </w:r>
      <w:r>
        <w:rPr>
          <w:rFonts w:hint="eastAsia" w:ascii="楷体" w:hAnsi="楷体" w:eastAsia="楷体"/>
          <w:szCs w:val="22"/>
          <w:highlight w:val="none"/>
        </w:rPr>
        <w:fldChar w:fldCharType="end"/>
      </w:r>
      <w:r>
        <w:rPr>
          <w:rFonts w:hint="eastAsia" w:ascii="楷体" w:hAnsi="楷体" w:eastAsia="楷体"/>
          <w:highlight w:val="none"/>
          <w:lang w:eastAsia="zh-CN"/>
        </w:rPr>
        <w:t>末尾</w:t>
      </w:r>
      <w:r>
        <w:rPr>
          <w:rFonts w:hint="eastAsia" w:ascii="楷体" w:hAnsi="楷体" w:eastAsia="楷体"/>
          <w:highlight w:val="none"/>
          <w:lang w:val="en-US" w:eastAsia="zh-CN"/>
        </w:rPr>
        <w:t>新增如下</w:t>
      </w:r>
      <w:r>
        <w:rPr>
          <w:rFonts w:ascii="楷体" w:hAnsi="楷体" w:eastAsia="楷体"/>
          <w:szCs w:val="22"/>
          <w:highlight w:val="none"/>
        </w:rPr>
        <w:t>：</w:t>
      </w:r>
    </w:p>
    <w:p>
      <w:pPr>
        <w:ind w:firstLine="420" w:firstLineChars="200"/>
        <w:rPr>
          <w:rFonts w:hint="eastAsia" w:ascii="Times New Roman" w:hAnsi="Times New Roman"/>
          <w:szCs w:val="22"/>
          <w:highlight w:val="none"/>
        </w:rPr>
      </w:pPr>
      <w:r>
        <w:rPr>
          <w:rFonts w:hint="eastAsia" w:ascii="Times New Roman" w:hAnsi="Times New Roman"/>
          <w:szCs w:val="22"/>
          <w:highlight w:val="none"/>
        </w:rPr>
        <w:t>“</w:t>
      </w:r>
      <w:r>
        <w:rPr>
          <w:rFonts w:hint="eastAsia" w:ascii="Times New Roman" w:hAnsi="Times New Roman"/>
          <w:color w:val="FF0000"/>
          <w:szCs w:val="22"/>
          <w:highlight w:val="none"/>
          <w:u w:val="single"/>
        </w:rPr>
        <w:t>2020年7月1日及以后安装的INS设备，</w:t>
      </w:r>
      <w:r>
        <w:rPr>
          <w:rFonts w:hint="eastAsia" w:ascii="Times New Roman" w:hAnsi="Times New Roman"/>
          <w:color w:val="FF0000"/>
          <w:szCs w:val="22"/>
          <w:highlight w:val="none"/>
          <w:u w:val="single"/>
          <w:lang w:val="en-US" w:eastAsia="zh-CN"/>
        </w:rPr>
        <w:t>其性能标准</w:t>
      </w:r>
      <w:r>
        <w:rPr>
          <w:rFonts w:hint="eastAsia" w:ascii="Times New Roman" w:hAnsi="Times New Roman"/>
          <w:color w:val="FF0000"/>
          <w:szCs w:val="22"/>
          <w:highlight w:val="none"/>
          <w:u w:val="single"/>
        </w:rPr>
        <w:t>应不低于</w:t>
      </w:r>
      <w:r>
        <w:rPr>
          <w:rFonts w:hint="eastAsia" w:ascii="Times New Roman" w:hAnsi="Times New Roman"/>
          <w:color w:val="FF0000"/>
          <w:szCs w:val="22"/>
          <w:highlight w:val="none"/>
          <w:u w:val="single"/>
          <w:lang w:val="en-US" w:eastAsia="zh-CN"/>
        </w:rPr>
        <w:t>经</w:t>
      </w:r>
      <w:r>
        <w:rPr>
          <w:rFonts w:hint="eastAsia" w:ascii="Times New Roman" w:hAnsi="Times New Roman"/>
          <w:color w:val="FF0000"/>
          <w:szCs w:val="22"/>
          <w:highlight w:val="none"/>
          <w:u w:val="single"/>
        </w:rPr>
        <w:t>MSC.452(99)决议</w:t>
      </w:r>
      <w:r>
        <w:rPr>
          <w:rFonts w:hint="eastAsia" w:ascii="Times New Roman" w:hAnsi="Times New Roman"/>
          <w:color w:val="FF0000"/>
          <w:szCs w:val="22"/>
          <w:highlight w:val="none"/>
          <w:u w:val="single"/>
          <w:lang w:val="en-US" w:eastAsia="zh-CN"/>
        </w:rPr>
        <w:t>修订的《经修订的综合导航系统（INS）性能标准》（MSC.252(83)决议）</w:t>
      </w:r>
      <w:r>
        <w:rPr>
          <w:rFonts w:hint="eastAsia" w:ascii="Times New Roman" w:hAnsi="Times New Roman"/>
          <w:color w:val="FF0000"/>
          <w:szCs w:val="22"/>
          <w:highlight w:val="none"/>
          <w:u w:val="single"/>
        </w:rPr>
        <w:t>。</w:t>
      </w:r>
      <w:r>
        <w:rPr>
          <w:rFonts w:hint="eastAsia" w:ascii="Times New Roman" w:hAnsi="Times New Roman"/>
          <w:szCs w:val="22"/>
          <w:highlight w:val="none"/>
        </w:rPr>
        <w:t>”</w:t>
      </w:r>
    </w:p>
    <w:p>
      <w:pPr>
        <w:spacing w:after="156" w:afterLines="50" w:line="360" w:lineRule="auto"/>
        <w:ind w:firstLine="420" w:firstLineChars="200"/>
        <w:rPr>
          <w:rFonts w:ascii="宋体" w:hAnsi="宋体"/>
          <w:sz w:val="21"/>
          <w:szCs w:val="21"/>
          <w:highlight w:val="none"/>
        </w:rPr>
      </w:pPr>
    </w:p>
    <w:p>
      <w:pPr>
        <w:spacing w:after="156" w:afterLines="50" w:line="360" w:lineRule="auto"/>
        <w:ind w:firstLine="420" w:firstLineChars="200"/>
        <w:rPr>
          <w:rFonts w:ascii="宋体" w:hAnsi="宋体"/>
          <w:sz w:val="21"/>
          <w:szCs w:val="21"/>
          <w:highlight w:val="none"/>
        </w:rPr>
      </w:pPr>
    </w:p>
    <w:p>
      <w:pPr>
        <w:rPr>
          <w:rFonts w:hint="eastAsia" w:ascii="Times New Roman" w:hAnsi="Times New Roman" w:cstheme="minorBidi"/>
          <w:bCs w:val="0"/>
          <w:caps w:val="0"/>
          <w:kern w:val="0"/>
          <w:sz w:val="21"/>
          <w:szCs w:val="21"/>
          <w:highlight w:val="none"/>
          <w:lang w:val="en-US"/>
        </w:rPr>
      </w:pPr>
    </w:p>
    <w:p>
      <w:pPr>
        <w:pStyle w:val="3"/>
        <w:ind w:left="0"/>
        <w:jc w:val="center"/>
        <w:rPr>
          <w:rFonts w:hint="eastAsia" w:ascii="Times New Roman" w:hAnsi="Times New Roman" w:eastAsiaTheme="minorEastAsia" w:cstheme="minorBidi"/>
          <w:bCs w:val="0"/>
          <w:caps w:val="0"/>
          <w:kern w:val="0"/>
          <w:sz w:val="21"/>
          <w:szCs w:val="21"/>
          <w:highlight w:val="none"/>
          <w:lang w:val="en-US" w:eastAsia="zh-CN"/>
        </w:rPr>
      </w:pPr>
      <w:bookmarkStart w:id="82" w:name="_Toc30388"/>
      <w:r>
        <w:rPr>
          <w:rFonts w:hint="eastAsia" w:ascii="Times New Roman" w:hAnsi="Times New Roman" w:cstheme="minorBidi"/>
          <w:bCs w:val="0"/>
          <w:caps w:val="0"/>
          <w:kern w:val="0"/>
          <w:sz w:val="21"/>
          <w:szCs w:val="21"/>
          <w:highlight w:val="none"/>
          <w:lang w:val="en-US" w:eastAsia="zh-CN"/>
        </w:rPr>
        <w:t>第20条　航行数据记录仪（VDR）</w:t>
      </w:r>
      <w:bookmarkEnd w:id="82"/>
    </w:p>
    <w:p>
      <w:pPr>
        <w:rPr>
          <w:rFonts w:hint="eastAsia" w:ascii="楷体" w:hAnsi="楷体" w:eastAsia="楷体"/>
          <w:szCs w:val="22"/>
          <w:highlight w:val="none"/>
          <w:lang w:eastAsia="zh-CN"/>
        </w:rPr>
      </w:pPr>
    </w:p>
    <w:p>
      <w:pPr>
        <w:rPr>
          <w:rFonts w:hint="eastAsia" w:ascii="楷体" w:hAnsi="楷体" w:eastAsia="楷体"/>
          <w:szCs w:val="22"/>
          <w:highlight w:val="none"/>
          <w:lang w:eastAsia="zh-CN"/>
        </w:rPr>
      </w:pPr>
      <w:r>
        <w:rPr>
          <w:rFonts w:hint="eastAsia" w:ascii="楷体" w:hAnsi="楷体" w:eastAsia="楷体"/>
          <w:szCs w:val="22"/>
          <w:highlight w:val="none"/>
          <w:lang w:eastAsia="zh-CN"/>
        </w:rPr>
        <w:t>本条标题的</w:t>
      </w:r>
      <w:r>
        <w:rPr>
          <w:rFonts w:hint="eastAsia" w:ascii="楷体" w:hAnsi="楷体" w:eastAsia="楷体"/>
          <w:szCs w:val="22"/>
          <w:highlight w:val="none"/>
          <w:lang w:val="en-US" w:eastAsia="zh-CN"/>
        </w:rPr>
        <w:t>原</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1 \* GB3 \* MERGEFORMAT </w:instrText>
      </w:r>
      <w:r>
        <w:rPr>
          <w:rFonts w:hint="eastAsia" w:ascii="楷体" w:hAnsi="楷体" w:eastAsia="楷体"/>
          <w:szCs w:val="22"/>
          <w:highlight w:val="none"/>
        </w:rPr>
        <w:fldChar w:fldCharType="separate"/>
      </w:r>
      <w:r>
        <w:t>①</w:t>
      </w:r>
      <w:r>
        <w:rPr>
          <w:rFonts w:hint="eastAsia" w:ascii="楷体" w:hAnsi="楷体" w:eastAsia="楷体"/>
          <w:szCs w:val="22"/>
          <w:highlight w:val="none"/>
        </w:rPr>
        <w:fldChar w:fldCharType="end"/>
      </w:r>
      <w:r>
        <w:rPr>
          <w:rFonts w:hint="eastAsia" w:ascii="楷体" w:hAnsi="楷体" w:eastAsia="楷体"/>
          <w:szCs w:val="22"/>
          <w:highlight w:val="none"/>
          <w:lang w:eastAsia="zh-CN"/>
        </w:rPr>
        <w:t>改为：</w:t>
      </w:r>
    </w:p>
    <w:p>
      <w:pPr>
        <w:rPr>
          <w:rFonts w:hint="eastAsia" w:ascii="楷体" w:hAnsi="楷体" w:eastAsia="楷体"/>
          <w:szCs w:val="22"/>
          <w:highlight w:val="none"/>
          <w:lang w:eastAsia="zh-CN"/>
        </w:rPr>
      </w:pPr>
      <w:r>
        <w:rPr>
          <w:rFonts w:hint="eastAsia" w:ascii="楷体" w:hAnsi="楷体" w:eastAsia="楷体"/>
          <w:szCs w:val="22"/>
          <w:highlight w:val="none"/>
          <w:lang w:eastAsia="zh-CN"/>
        </w:rPr>
        <w:t>“</w:t>
      </w:r>
      <w:r>
        <w:rPr>
          <w:rFonts w:hint="eastAsia" w:ascii="楷体" w:hAnsi="楷体" w:eastAsia="楷体"/>
          <w:szCs w:val="22"/>
          <w:highlight w:val="none"/>
          <w:lang w:eastAsia="zh-CN"/>
        </w:rPr>
        <w:fldChar w:fldCharType="begin"/>
      </w:r>
      <w:r>
        <w:rPr>
          <w:rFonts w:hint="eastAsia" w:ascii="楷体" w:hAnsi="楷体" w:eastAsia="楷体"/>
          <w:szCs w:val="22"/>
          <w:highlight w:val="none"/>
          <w:lang w:eastAsia="zh-CN"/>
        </w:rPr>
        <w:instrText xml:space="preserve"> = 1 \* GB3 \* MERGEFORMAT </w:instrText>
      </w:r>
      <w:r>
        <w:rPr>
          <w:rFonts w:hint="eastAsia" w:ascii="楷体" w:hAnsi="楷体" w:eastAsia="楷体"/>
          <w:szCs w:val="22"/>
          <w:highlight w:val="none"/>
          <w:lang w:eastAsia="zh-CN"/>
        </w:rPr>
        <w:fldChar w:fldCharType="separate"/>
      </w:r>
      <w:r>
        <w:t>①</w:t>
      </w:r>
      <w:r>
        <w:rPr>
          <w:rFonts w:hint="eastAsia" w:ascii="楷体" w:hAnsi="楷体" w:eastAsia="楷体"/>
          <w:szCs w:val="22"/>
          <w:highlight w:val="none"/>
          <w:lang w:eastAsia="zh-CN"/>
        </w:rPr>
        <w:fldChar w:fldCharType="end"/>
      </w:r>
      <w:r>
        <w:rPr>
          <w:rFonts w:hint="default" w:ascii="Times New Roman" w:hAnsi="Times New Roman" w:cs="Times New Roman"/>
          <w:strike/>
          <w:dstrike w:val="0"/>
          <w:color w:val="FF0000"/>
        </w:rPr>
        <w:t>参见《船载航行数据记录仪（VDR）性能标准》（经修正的A.861（20）决议）、《关于船载航行数据记录仪（VDR）性能标准的建议案》（MSC.333(90)决议）</w:t>
      </w:r>
      <w:r>
        <w:rPr>
          <w:rFonts w:hint="default" w:ascii="Times New Roman" w:hAnsi="Times New Roman" w:eastAsia="宋体" w:cs="Times New Roman"/>
          <w:color w:val="FF0000"/>
          <w:szCs w:val="22"/>
          <w:highlight w:val="none"/>
          <w:u w:val="single"/>
          <w:lang w:eastAsia="zh-CN"/>
        </w:rPr>
        <w:t>在2022年7月1日或以后安装的VDR，参见经</w:t>
      </w:r>
      <w:r>
        <w:rPr>
          <w:rFonts w:hint="default" w:ascii="Times New Roman" w:hAnsi="Times New Roman" w:eastAsia="宋体" w:cs="Times New Roman"/>
          <w:color w:val="FF0000"/>
          <w:szCs w:val="22"/>
          <w:highlight w:val="none"/>
          <w:u w:val="single"/>
          <w:lang w:val="en-US" w:eastAsia="zh-CN"/>
        </w:rPr>
        <w:t>MSC.494（104）</w:t>
      </w:r>
      <w:r>
        <w:rPr>
          <w:rFonts w:hint="default" w:ascii="Times New Roman" w:hAnsi="Times New Roman" w:eastAsia="宋体" w:cs="Times New Roman"/>
          <w:color w:val="FF0000"/>
          <w:szCs w:val="22"/>
          <w:highlight w:val="none"/>
          <w:u w:val="single"/>
          <w:lang w:eastAsia="zh-CN"/>
        </w:rPr>
        <w:t>决议对MSC.333(90)决议</w:t>
      </w:r>
      <w:r>
        <w:rPr>
          <w:rFonts w:hint="default" w:ascii="Times New Roman" w:hAnsi="Times New Roman" w:cs="Times New Roman"/>
          <w:strike w:val="0"/>
          <w:dstrike w:val="0"/>
          <w:color w:val="FF0000"/>
          <w:u w:val="single"/>
        </w:rPr>
        <w:t>《关于船载航行数据记录仪（VDR）性能标准的建议案》</w:t>
      </w:r>
      <w:r>
        <w:rPr>
          <w:rFonts w:hint="default" w:ascii="Times New Roman" w:hAnsi="Times New Roman" w:eastAsia="宋体" w:cs="Times New Roman"/>
          <w:color w:val="FF0000"/>
          <w:szCs w:val="22"/>
          <w:highlight w:val="none"/>
          <w:u w:val="single"/>
          <w:lang w:eastAsia="zh-CN"/>
        </w:rPr>
        <w:t>附件修正后所规定的性能标准；在2014年7月1日或以后、但在2022年7月1日以前安装的VDR，参见MSC.333(90)决议</w:t>
      </w:r>
      <w:r>
        <w:rPr>
          <w:rFonts w:hint="default" w:ascii="Times New Roman" w:hAnsi="Times New Roman" w:cs="Times New Roman"/>
          <w:strike w:val="0"/>
          <w:dstrike w:val="0"/>
          <w:color w:val="FF0000"/>
          <w:u w:val="single"/>
        </w:rPr>
        <w:t>《关于船载航行数据记录仪（VDR）性能标准的建议案》</w:t>
      </w:r>
      <w:r>
        <w:rPr>
          <w:rFonts w:hint="default" w:ascii="Times New Roman" w:hAnsi="Times New Roman" w:eastAsia="宋体" w:cs="Times New Roman"/>
          <w:color w:val="FF0000"/>
          <w:szCs w:val="22"/>
          <w:highlight w:val="none"/>
          <w:u w:val="single"/>
          <w:lang w:eastAsia="zh-CN"/>
        </w:rPr>
        <w:t>附件规定的性能标准；在2008年6月1日或以后、但在2014年7月1日以前安装的VDR，参见经MSC.214(81)决议对A.861(20)决议</w:t>
      </w:r>
      <w:r>
        <w:rPr>
          <w:rFonts w:hint="eastAsia" w:ascii="Times New Roman" w:hAnsi="Times New Roman" w:eastAsia="宋体" w:cs="Times New Roman"/>
          <w:strike w:val="0"/>
          <w:dstrike w:val="0"/>
          <w:color w:val="FF0000"/>
          <w:szCs w:val="22"/>
          <w:highlight w:val="none"/>
          <w:u w:val="single"/>
          <w:lang w:eastAsia="zh-CN"/>
        </w:rPr>
        <w:t>《</w:t>
      </w:r>
      <w:r>
        <w:rPr>
          <w:rFonts w:hint="default" w:ascii="Times New Roman" w:hAnsi="Times New Roman" w:cs="Times New Roman"/>
          <w:strike w:val="0"/>
          <w:dstrike w:val="0"/>
          <w:color w:val="FF0000"/>
          <w:u w:val="single"/>
        </w:rPr>
        <w:t>船载航行数据记录仪（VDR）性能标准</w:t>
      </w:r>
      <w:r>
        <w:rPr>
          <w:rFonts w:hint="eastAsia" w:ascii="Times New Roman" w:hAnsi="Times New Roman" w:cs="Times New Roman"/>
          <w:strike w:val="0"/>
          <w:dstrike w:val="0"/>
          <w:color w:val="FF0000"/>
          <w:u w:val="single"/>
          <w:lang w:eastAsia="zh-CN"/>
        </w:rPr>
        <w:t>》</w:t>
      </w:r>
      <w:r>
        <w:rPr>
          <w:rFonts w:hint="default" w:ascii="Times New Roman" w:hAnsi="Times New Roman" w:eastAsia="宋体" w:cs="Times New Roman"/>
          <w:color w:val="FF0000"/>
          <w:szCs w:val="22"/>
          <w:highlight w:val="none"/>
          <w:u w:val="single"/>
          <w:lang w:eastAsia="zh-CN"/>
        </w:rPr>
        <w:t>附件修正后规定的性能标准；在2008年6月1日以前安装的VDR，参见A.861(20)决议</w:t>
      </w:r>
      <w:r>
        <w:rPr>
          <w:rFonts w:hint="eastAsia" w:ascii="Times New Roman" w:hAnsi="Times New Roman" w:eastAsia="宋体" w:cs="Times New Roman"/>
          <w:strike w:val="0"/>
          <w:dstrike w:val="0"/>
          <w:color w:val="FF0000"/>
          <w:szCs w:val="22"/>
          <w:highlight w:val="none"/>
          <w:u w:val="single"/>
          <w:lang w:eastAsia="zh-CN"/>
        </w:rPr>
        <w:t>《</w:t>
      </w:r>
      <w:r>
        <w:rPr>
          <w:rFonts w:hint="default" w:ascii="Times New Roman" w:hAnsi="Times New Roman" w:cs="Times New Roman"/>
          <w:strike w:val="0"/>
          <w:dstrike w:val="0"/>
          <w:color w:val="FF0000"/>
          <w:u w:val="single"/>
        </w:rPr>
        <w:t>船载航行数据记录仪（VDR）性能标准</w:t>
      </w:r>
      <w:r>
        <w:rPr>
          <w:rFonts w:hint="eastAsia" w:ascii="Times New Roman" w:hAnsi="Times New Roman" w:cs="Times New Roman"/>
          <w:strike w:val="0"/>
          <w:dstrike w:val="0"/>
          <w:color w:val="FF0000"/>
          <w:u w:val="single"/>
          <w:lang w:eastAsia="zh-CN"/>
        </w:rPr>
        <w:t>》</w:t>
      </w:r>
      <w:r>
        <w:rPr>
          <w:rFonts w:hint="default" w:ascii="Times New Roman" w:hAnsi="Times New Roman" w:eastAsia="宋体" w:cs="Times New Roman"/>
          <w:color w:val="FF0000"/>
          <w:szCs w:val="22"/>
          <w:highlight w:val="none"/>
          <w:u w:val="single"/>
          <w:lang w:eastAsia="zh-CN"/>
        </w:rPr>
        <w:t>附件规定的性能标准。此外，还参见</w:t>
      </w:r>
      <w:r>
        <w:rPr>
          <w:rFonts w:hint="default" w:ascii="Times New Roman" w:hAnsi="Times New Roman" w:cs="Times New Roman"/>
        </w:rPr>
        <w:t>《航行数据记录仪（VDR）的所有权和恢复指南》（MSC.1/Circ.1024通函）。</w:t>
      </w:r>
      <w:r>
        <w:rPr>
          <w:rFonts w:hint="default" w:ascii="Times New Roman" w:hAnsi="Times New Roman" w:eastAsia="楷体" w:cs="Times New Roman"/>
          <w:szCs w:val="22"/>
          <w:highlight w:val="none"/>
          <w:lang w:eastAsia="zh-CN"/>
        </w:rPr>
        <w:t>”</w:t>
      </w:r>
    </w:p>
    <w:p>
      <w:pPr>
        <w:rPr>
          <w:rFonts w:hint="eastAsia" w:ascii="楷体" w:hAnsi="楷体" w:eastAsia="楷体"/>
          <w:szCs w:val="22"/>
          <w:highlight w:val="none"/>
          <w:lang w:eastAsia="zh-CN"/>
        </w:rPr>
      </w:pPr>
    </w:p>
    <w:p>
      <w:pPr>
        <w:rPr>
          <w:rFonts w:hint="eastAsia" w:ascii="楷体" w:hAnsi="楷体" w:eastAsia="楷体"/>
          <w:szCs w:val="22"/>
          <w:highlight w:val="none"/>
          <w:lang w:eastAsia="zh-CN"/>
        </w:rPr>
      </w:pPr>
    </w:p>
    <w:p>
      <w:pPr>
        <w:rPr>
          <w:rFonts w:ascii="楷体" w:hAnsi="楷体" w:eastAsia="楷体"/>
          <w:szCs w:val="22"/>
          <w:highlight w:val="none"/>
        </w:rPr>
      </w:pPr>
      <w:r>
        <w:rPr>
          <w:rFonts w:hint="eastAsia" w:ascii="楷体" w:hAnsi="楷体" w:eastAsia="楷体"/>
          <w:szCs w:val="22"/>
          <w:highlight w:val="none"/>
          <w:lang w:val="en-US" w:eastAsia="zh-CN"/>
        </w:rPr>
        <w:t>原2</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3 \* GB3 \* MERGEFORMAT </w:instrText>
      </w:r>
      <w:r>
        <w:rPr>
          <w:rFonts w:hint="eastAsia" w:ascii="楷体" w:hAnsi="楷体" w:eastAsia="楷体"/>
          <w:szCs w:val="22"/>
          <w:highlight w:val="none"/>
        </w:rPr>
        <w:fldChar w:fldCharType="separate"/>
      </w:r>
      <w:r>
        <w:t>③</w:t>
      </w:r>
      <w:r>
        <w:rPr>
          <w:rFonts w:hint="eastAsia" w:ascii="楷体" w:hAnsi="楷体" w:eastAsia="楷体"/>
          <w:szCs w:val="22"/>
          <w:highlight w:val="none"/>
        </w:rPr>
        <w:fldChar w:fldCharType="end"/>
      </w:r>
      <w:r>
        <w:rPr>
          <w:rFonts w:hint="eastAsia" w:ascii="楷体" w:hAnsi="楷体" w:eastAsia="楷体"/>
          <w:szCs w:val="22"/>
          <w:highlight w:val="none"/>
          <w:lang w:eastAsia="zh-CN"/>
        </w:rPr>
        <w:t>改为</w:t>
      </w:r>
      <w:r>
        <w:rPr>
          <w:rFonts w:ascii="楷体" w:hAnsi="楷体" w:eastAsia="楷体"/>
          <w:szCs w:val="22"/>
          <w:highlight w:val="none"/>
        </w:rPr>
        <w:t>：</w:t>
      </w:r>
    </w:p>
    <w:p>
      <w:pPr>
        <w:rPr>
          <w:rFonts w:hint="eastAsia" w:ascii="Times New Roman" w:hAnsi="Times New Roman"/>
          <w:strike/>
          <w:dstrike w:val="0"/>
          <w:color w:val="FF0000"/>
          <w:szCs w:val="22"/>
          <w:highlight w:val="none"/>
          <w:u w:val="none"/>
        </w:rPr>
      </w:pPr>
      <w:r>
        <w:rPr>
          <w:rFonts w:hint="eastAsia" w:ascii="Times New Roman" w:hAnsi="Times New Roman"/>
          <w:color w:val="FF0000"/>
          <w:szCs w:val="22"/>
          <w:highlight w:val="none"/>
          <w:u w:val="none"/>
          <w:lang w:eastAsia="zh-CN"/>
        </w:rPr>
        <w:t>“</w:t>
      </w:r>
      <w:r>
        <w:rPr>
          <w:rFonts w:hint="eastAsia" w:ascii="Times New Roman" w:hAnsi="Times New Roman"/>
          <w:color w:val="FF0000"/>
          <w:szCs w:val="22"/>
          <w:highlight w:val="none"/>
          <w:u w:val="none"/>
          <w:lang w:eastAsia="zh-CN"/>
        </w:rPr>
        <w:fldChar w:fldCharType="begin"/>
      </w:r>
      <w:r>
        <w:rPr>
          <w:rFonts w:hint="eastAsia" w:ascii="Times New Roman" w:hAnsi="Times New Roman"/>
          <w:color w:val="FF0000"/>
          <w:szCs w:val="22"/>
          <w:highlight w:val="none"/>
          <w:u w:val="none"/>
          <w:lang w:eastAsia="zh-CN"/>
        </w:rPr>
        <w:instrText xml:space="preserve"> = 3 \* GB3 \* MERGEFORMAT </w:instrText>
      </w:r>
      <w:r>
        <w:rPr>
          <w:rFonts w:hint="eastAsia" w:ascii="Times New Roman" w:hAnsi="Times New Roman"/>
          <w:color w:val="FF0000"/>
          <w:szCs w:val="22"/>
          <w:highlight w:val="none"/>
          <w:u w:val="none"/>
          <w:lang w:eastAsia="zh-CN"/>
        </w:rPr>
        <w:fldChar w:fldCharType="separate"/>
      </w:r>
      <w:r>
        <w:t>③</w:t>
      </w:r>
      <w:r>
        <w:rPr>
          <w:rFonts w:hint="eastAsia" w:ascii="Times New Roman" w:hAnsi="Times New Roman"/>
          <w:color w:val="FF0000"/>
          <w:szCs w:val="22"/>
          <w:highlight w:val="none"/>
          <w:u w:val="none"/>
          <w:lang w:eastAsia="zh-CN"/>
        </w:rPr>
        <w:fldChar w:fldCharType="end"/>
      </w:r>
      <w:r>
        <w:rPr>
          <w:rFonts w:hint="eastAsia" w:ascii="Times New Roman" w:hAnsi="Times New Roman"/>
          <w:strike/>
          <w:dstrike w:val="0"/>
          <w:color w:val="FF0000"/>
          <w:szCs w:val="22"/>
          <w:highlight w:val="none"/>
          <w:u w:val="none"/>
        </w:rPr>
        <w:t xml:space="preserve">参见 </w:t>
      </w:r>
      <w:r>
        <w:rPr>
          <w:rFonts w:hint="eastAsia" w:ascii="Times New Roman" w:hAnsi="Times New Roman"/>
          <w:strike/>
          <w:dstrike w:val="0"/>
          <w:color w:val="FF0000"/>
          <w:szCs w:val="22"/>
          <w:highlight w:val="none"/>
          <w:u w:val="none"/>
          <w:lang w:val="en-US" w:eastAsia="zh-CN"/>
        </w:rPr>
        <w:t>MSC.163（78）</w:t>
      </w:r>
      <w:r>
        <w:rPr>
          <w:rFonts w:hint="eastAsia" w:ascii="Times New Roman" w:hAnsi="Times New Roman"/>
          <w:strike/>
          <w:dstrike w:val="0"/>
          <w:color w:val="FF0000"/>
          <w:szCs w:val="22"/>
          <w:highlight w:val="none"/>
          <w:u w:val="none"/>
        </w:rPr>
        <w:t>决议</w:t>
      </w:r>
      <w:r>
        <w:rPr>
          <w:rFonts w:hint="eastAsia" w:ascii="Times New Roman" w:hAnsi="Times New Roman"/>
          <w:strike/>
          <w:dstrike w:val="0"/>
          <w:color w:val="FF0000"/>
          <w:szCs w:val="22"/>
          <w:highlight w:val="none"/>
          <w:u w:val="none"/>
          <w:lang w:eastAsia="zh-CN"/>
        </w:rPr>
        <w:t>《</w:t>
      </w:r>
      <w:r>
        <w:rPr>
          <w:rFonts w:hint="eastAsia" w:ascii="Times New Roman" w:hAnsi="Times New Roman"/>
          <w:strike/>
          <w:dstrike w:val="0"/>
          <w:color w:val="FF0000"/>
          <w:szCs w:val="22"/>
          <w:highlight w:val="none"/>
          <w:u w:val="none"/>
        </w:rPr>
        <w:t>船载简化的航行数据记录仪(</w:t>
      </w:r>
      <w:r>
        <w:rPr>
          <w:rFonts w:hint="eastAsia" w:ascii="Times New Roman" w:hAnsi="Times New Roman"/>
          <w:strike/>
          <w:dstrike w:val="0"/>
          <w:color w:val="FF0000"/>
          <w:szCs w:val="22"/>
          <w:highlight w:val="none"/>
          <w:u w:val="none"/>
          <w:lang w:val="en-US" w:eastAsia="zh-CN"/>
        </w:rPr>
        <w:t>S-VDR</w:t>
      </w:r>
      <w:r>
        <w:rPr>
          <w:rFonts w:hint="eastAsia" w:ascii="Times New Roman" w:hAnsi="Times New Roman"/>
          <w:strike/>
          <w:dstrike w:val="0"/>
          <w:color w:val="FF0000"/>
          <w:szCs w:val="22"/>
          <w:highlight w:val="none"/>
          <w:u w:val="none"/>
        </w:rPr>
        <w:t>)性能标准</w:t>
      </w:r>
      <w:r>
        <w:rPr>
          <w:rFonts w:hint="eastAsia" w:ascii="Times New Roman" w:hAnsi="Times New Roman"/>
          <w:strike/>
          <w:dstrike w:val="0"/>
          <w:color w:val="FF0000"/>
          <w:szCs w:val="22"/>
          <w:highlight w:val="none"/>
          <w:u w:val="none"/>
          <w:lang w:eastAsia="zh-CN"/>
        </w:rPr>
        <w:t>》</w:t>
      </w:r>
      <w:r>
        <w:rPr>
          <w:rFonts w:hint="eastAsia" w:ascii="Times New Roman" w:hAnsi="Times New Roman"/>
          <w:strike/>
          <w:dstrike w:val="0"/>
          <w:color w:val="FF0000"/>
          <w:szCs w:val="22"/>
          <w:highlight w:val="none"/>
          <w:u w:val="none"/>
        </w:rPr>
        <w:t xml:space="preserve">及其 </w:t>
      </w:r>
      <w:r>
        <w:rPr>
          <w:rFonts w:hint="eastAsia" w:ascii="Times New Roman" w:hAnsi="Times New Roman"/>
          <w:strike/>
          <w:dstrike w:val="0"/>
          <w:color w:val="FF0000"/>
          <w:szCs w:val="22"/>
          <w:highlight w:val="none"/>
          <w:u w:val="none"/>
          <w:lang w:val="en-US" w:eastAsia="zh-CN"/>
        </w:rPr>
        <w:t>MSC.214(81)</w:t>
      </w:r>
      <w:r>
        <w:rPr>
          <w:rFonts w:hint="eastAsia" w:ascii="Times New Roman" w:hAnsi="Times New Roman"/>
          <w:strike/>
          <w:dstrike w:val="0"/>
          <w:color w:val="FF0000"/>
          <w:szCs w:val="22"/>
          <w:highlight w:val="none"/>
          <w:u w:val="none"/>
        </w:rPr>
        <w:t>决议通过的修正案</w:t>
      </w:r>
    </w:p>
    <w:p>
      <w:pPr>
        <w:rPr>
          <w:rFonts w:hint="default" w:ascii="Times New Roman" w:hAnsi="Times New Roman" w:cs="Times New Roman"/>
          <w:strike w:val="0"/>
          <w:dstrike w:val="0"/>
          <w:color w:val="FF0000"/>
          <w:highlight w:val="none"/>
          <w:u w:val="single"/>
        </w:rPr>
      </w:pPr>
      <w:r>
        <w:rPr>
          <w:rFonts w:hint="default" w:ascii="Times New Roman" w:hAnsi="Times New Roman" w:cs="Times New Roman"/>
          <w:strike w:val="0"/>
          <w:dstrike w:val="0"/>
          <w:color w:val="FF0000"/>
          <w:highlight w:val="none"/>
          <w:u w:val="single"/>
        </w:rPr>
        <w:t>.1 在2022年7月1日或以后安装的S-VDR，</w:t>
      </w:r>
      <w:r>
        <w:rPr>
          <w:rFonts w:hint="default" w:ascii="Times New Roman" w:hAnsi="Times New Roman" w:cs="Times New Roman"/>
          <w:strike w:val="0"/>
          <w:dstrike w:val="0"/>
          <w:color w:val="FF0000"/>
          <w:highlight w:val="none"/>
          <w:u w:val="single"/>
          <w:lang w:eastAsia="zh-CN"/>
        </w:rPr>
        <w:t>参见</w:t>
      </w:r>
      <w:r>
        <w:rPr>
          <w:rFonts w:hint="default" w:ascii="Times New Roman" w:hAnsi="Times New Roman" w:cs="Times New Roman"/>
          <w:strike w:val="0"/>
          <w:dstrike w:val="0"/>
          <w:color w:val="FF0000"/>
          <w:highlight w:val="none"/>
          <w:u w:val="single"/>
        </w:rPr>
        <w:t>经MSC.214(81)决议和</w:t>
      </w:r>
      <w:r>
        <w:rPr>
          <w:rFonts w:hint="default" w:ascii="Times New Roman" w:hAnsi="Times New Roman" w:cs="Times New Roman"/>
          <w:strike w:val="0"/>
          <w:dstrike w:val="0"/>
          <w:color w:val="FF0000"/>
          <w:highlight w:val="none"/>
          <w:u w:val="single"/>
          <w:lang w:val="en-US" w:eastAsia="zh-CN"/>
        </w:rPr>
        <w:t>MSC.493（104）</w:t>
      </w:r>
      <w:r>
        <w:rPr>
          <w:rFonts w:hint="default" w:ascii="Times New Roman" w:hAnsi="Times New Roman" w:cs="Times New Roman"/>
          <w:strike w:val="0"/>
          <w:dstrike w:val="0"/>
          <w:color w:val="FF0000"/>
          <w:highlight w:val="none"/>
          <w:u w:val="single"/>
        </w:rPr>
        <w:t>决议对MSC.163(78)决议</w:t>
      </w:r>
      <w:r>
        <w:rPr>
          <w:rFonts w:hint="eastAsia" w:ascii="Times New Roman" w:hAnsi="Times New Roman"/>
          <w:strike w:val="0"/>
          <w:dstrike w:val="0"/>
          <w:color w:val="FF0000"/>
          <w:szCs w:val="22"/>
          <w:highlight w:val="none"/>
          <w:u w:val="single"/>
          <w:lang w:eastAsia="zh-CN"/>
        </w:rPr>
        <w:t>《</w:t>
      </w:r>
      <w:r>
        <w:rPr>
          <w:rFonts w:hint="eastAsia" w:ascii="Times New Roman" w:hAnsi="Times New Roman"/>
          <w:strike w:val="0"/>
          <w:dstrike w:val="0"/>
          <w:color w:val="FF0000"/>
          <w:szCs w:val="22"/>
          <w:highlight w:val="none"/>
          <w:u w:val="single"/>
        </w:rPr>
        <w:t>船载简化的航行数据记录仪(</w:t>
      </w:r>
      <w:r>
        <w:rPr>
          <w:rFonts w:hint="eastAsia" w:ascii="Times New Roman" w:hAnsi="Times New Roman"/>
          <w:strike w:val="0"/>
          <w:dstrike w:val="0"/>
          <w:color w:val="FF0000"/>
          <w:szCs w:val="22"/>
          <w:highlight w:val="none"/>
          <w:u w:val="single"/>
          <w:lang w:val="en-US" w:eastAsia="zh-CN"/>
        </w:rPr>
        <w:t>S-VDR</w:t>
      </w:r>
      <w:r>
        <w:rPr>
          <w:rFonts w:hint="eastAsia" w:ascii="Times New Roman" w:hAnsi="Times New Roman"/>
          <w:strike w:val="0"/>
          <w:dstrike w:val="0"/>
          <w:color w:val="FF0000"/>
          <w:szCs w:val="22"/>
          <w:highlight w:val="none"/>
          <w:u w:val="single"/>
        </w:rPr>
        <w:t>)性能标准</w:t>
      </w:r>
      <w:r>
        <w:rPr>
          <w:rFonts w:hint="eastAsia" w:ascii="Times New Roman" w:hAnsi="Times New Roman"/>
          <w:strike w:val="0"/>
          <w:dstrike w:val="0"/>
          <w:color w:val="FF0000"/>
          <w:szCs w:val="22"/>
          <w:highlight w:val="none"/>
          <w:u w:val="single"/>
          <w:lang w:eastAsia="zh-CN"/>
        </w:rPr>
        <w:t>》</w:t>
      </w:r>
      <w:r>
        <w:rPr>
          <w:rFonts w:hint="default" w:ascii="Times New Roman" w:hAnsi="Times New Roman" w:cs="Times New Roman"/>
          <w:strike w:val="0"/>
          <w:dstrike w:val="0"/>
          <w:color w:val="FF0000"/>
          <w:highlight w:val="none"/>
          <w:u w:val="single"/>
        </w:rPr>
        <w:t>附件修正后所规定的性能标准；</w:t>
      </w:r>
    </w:p>
    <w:p>
      <w:pPr>
        <w:rPr>
          <w:rFonts w:hint="default" w:ascii="Times New Roman" w:hAnsi="Times New Roman" w:cs="Times New Roman"/>
          <w:strike w:val="0"/>
          <w:dstrike w:val="0"/>
          <w:color w:val="FF0000"/>
          <w:highlight w:val="none"/>
          <w:u w:val="single"/>
        </w:rPr>
      </w:pPr>
      <w:r>
        <w:rPr>
          <w:rFonts w:hint="default" w:ascii="Times New Roman" w:hAnsi="Times New Roman" w:cs="Times New Roman"/>
          <w:strike w:val="0"/>
          <w:dstrike w:val="0"/>
          <w:color w:val="FF0000"/>
          <w:highlight w:val="none"/>
          <w:u w:val="single"/>
        </w:rPr>
        <w:t>.2 在2008年6月1日或以后、但在2022年7月1日以前安装的S-VDR，</w:t>
      </w:r>
      <w:r>
        <w:rPr>
          <w:rFonts w:hint="default" w:ascii="Times New Roman" w:hAnsi="Times New Roman" w:cs="Times New Roman"/>
          <w:strike w:val="0"/>
          <w:dstrike w:val="0"/>
          <w:color w:val="FF0000"/>
          <w:highlight w:val="none"/>
          <w:u w:val="single"/>
          <w:lang w:eastAsia="zh-CN"/>
        </w:rPr>
        <w:t>参见</w:t>
      </w:r>
      <w:r>
        <w:rPr>
          <w:rFonts w:hint="default" w:ascii="Times New Roman" w:hAnsi="Times New Roman" w:cs="Times New Roman"/>
          <w:strike w:val="0"/>
          <w:dstrike w:val="0"/>
          <w:color w:val="FF0000"/>
          <w:highlight w:val="none"/>
          <w:u w:val="single"/>
        </w:rPr>
        <w:t>经MSC.214(81)决议对MSC.163(78)决议</w:t>
      </w:r>
      <w:r>
        <w:rPr>
          <w:rFonts w:hint="eastAsia" w:ascii="Times New Roman" w:hAnsi="Times New Roman"/>
          <w:strike w:val="0"/>
          <w:dstrike w:val="0"/>
          <w:color w:val="FF0000"/>
          <w:szCs w:val="22"/>
          <w:highlight w:val="none"/>
          <w:u w:val="single"/>
          <w:lang w:eastAsia="zh-CN"/>
        </w:rPr>
        <w:t>《</w:t>
      </w:r>
      <w:r>
        <w:rPr>
          <w:rFonts w:hint="eastAsia" w:ascii="Times New Roman" w:hAnsi="Times New Roman"/>
          <w:strike w:val="0"/>
          <w:dstrike w:val="0"/>
          <w:color w:val="FF0000"/>
          <w:szCs w:val="22"/>
          <w:highlight w:val="none"/>
          <w:u w:val="single"/>
        </w:rPr>
        <w:t>船载简化的航行数据记录仪(</w:t>
      </w:r>
      <w:r>
        <w:rPr>
          <w:rFonts w:hint="eastAsia" w:ascii="Times New Roman" w:hAnsi="Times New Roman"/>
          <w:strike w:val="0"/>
          <w:dstrike w:val="0"/>
          <w:color w:val="FF0000"/>
          <w:szCs w:val="22"/>
          <w:highlight w:val="none"/>
          <w:u w:val="single"/>
          <w:lang w:val="en-US" w:eastAsia="zh-CN"/>
        </w:rPr>
        <w:t>S-VDR</w:t>
      </w:r>
      <w:r>
        <w:rPr>
          <w:rFonts w:hint="eastAsia" w:ascii="Times New Roman" w:hAnsi="Times New Roman"/>
          <w:strike w:val="0"/>
          <w:dstrike w:val="0"/>
          <w:color w:val="FF0000"/>
          <w:szCs w:val="22"/>
          <w:highlight w:val="none"/>
          <w:u w:val="single"/>
        </w:rPr>
        <w:t>)性能标准</w:t>
      </w:r>
      <w:r>
        <w:rPr>
          <w:rFonts w:hint="eastAsia" w:ascii="Times New Roman" w:hAnsi="Times New Roman"/>
          <w:strike w:val="0"/>
          <w:dstrike w:val="0"/>
          <w:color w:val="FF0000"/>
          <w:szCs w:val="22"/>
          <w:highlight w:val="none"/>
          <w:u w:val="single"/>
          <w:lang w:eastAsia="zh-CN"/>
        </w:rPr>
        <w:t>》</w:t>
      </w:r>
      <w:r>
        <w:rPr>
          <w:rFonts w:hint="default" w:ascii="Times New Roman" w:hAnsi="Times New Roman" w:cs="Times New Roman"/>
          <w:strike w:val="0"/>
          <w:dstrike w:val="0"/>
          <w:color w:val="FF0000"/>
          <w:highlight w:val="none"/>
          <w:u w:val="single"/>
        </w:rPr>
        <w:t>附件修正后所规定的性能标准；和</w:t>
      </w:r>
    </w:p>
    <w:p>
      <w:pPr>
        <w:rPr>
          <w:rFonts w:hint="eastAsia" w:ascii="Times New Roman" w:hAnsi="Times New Roman"/>
          <w:strike w:val="0"/>
          <w:dstrike w:val="0"/>
          <w:color w:val="FF0000"/>
          <w:szCs w:val="22"/>
          <w:highlight w:val="none"/>
          <w:u w:val="single"/>
        </w:rPr>
      </w:pPr>
      <w:r>
        <w:rPr>
          <w:rFonts w:hint="default" w:ascii="Times New Roman" w:hAnsi="Times New Roman" w:cs="Times New Roman"/>
          <w:strike w:val="0"/>
          <w:dstrike w:val="0"/>
          <w:color w:val="FF0000"/>
          <w:highlight w:val="none"/>
          <w:u w:val="single"/>
        </w:rPr>
        <w:t>.3 在2008年6月1日以前安装的S-VDR，</w:t>
      </w:r>
      <w:r>
        <w:rPr>
          <w:rFonts w:hint="default" w:ascii="Times New Roman" w:hAnsi="Times New Roman" w:cs="Times New Roman"/>
          <w:strike w:val="0"/>
          <w:dstrike w:val="0"/>
          <w:color w:val="FF0000"/>
          <w:highlight w:val="none"/>
          <w:u w:val="single"/>
          <w:lang w:eastAsia="zh-CN"/>
        </w:rPr>
        <w:t>参见</w:t>
      </w:r>
      <w:r>
        <w:rPr>
          <w:rFonts w:hint="default" w:ascii="Times New Roman" w:hAnsi="Times New Roman" w:cs="Times New Roman"/>
          <w:strike w:val="0"/>
          <w:dstrike w:val="0"/>
          <w:color w:val="FF0000"/>
          <w:highlight w:val="none"/>
          <w:u w:val="single"/>
        </w:rPr>
        <w:t>不低于MSC.163(78)决议</w:t>
      </w:r>
      <w:r>
        <w:rPr>
          <w:rFonts w:hint="eastAsia" w:ascii="Times New Roman" w:hAnsi="Times New Roman"/>
          <w:strike w:val="0"/>
          <w:dstrike w:val="0"/>
          <w:color w:val="FF0000"/>
          <w:szCs w:val="22"/>
          <w:highlight w:val="none"/>
          <w:u w:val="single"/>
          <w:lang w:eastAsia="zh-CN"/>
        </w:rPr>
        <w:t>《</w:t>
      </w:r>
      <w:r>
        <w:rPr>
          <w:rFonts w:hint="eastAsia" w:ascii="Times New Roman" w:hAnsi="Times New Roman"/>
          <w:strike w:val="0"/>
          <w:dstrike w:val="0"/>
          <w:color w:val="FF0000"/>
          <w:szCs w:val="22"/>
          <w:highlight w:val="none"/>
          <w:u w:val="single"/>
        </w:rPr>
        <w:t>船载简化的航行数据记录仪(</w:t>
      </w:r>
      <w:r>
        <w:rPr>
          <w:rFonts w:hint="eastAsia" w:ascii="Times New Roman" w:hAnsi="Times New Roman"/>
          <w:strike w:val="0"/>
          <w:dstrike w:val="0"/>
          <w:color w:val="FF0000"/>
          <w:szCs w:val="22"/>
          <w:highlight w:val="none"/>
          <w:u w:val="single"/>
          <w:lang w:val="en-US" w:eastAsia="zh-CN"/>
        </w:rPr>
        <w:t>S-VDR</w:t>
      </w:r>
      <w:r>
        <w:rPr>
          <w:rFonts w:hint="eastAsia" w:ascii="Times New Roman" w:hAnsi="Times New Roman"/>
          <w:strike w:val="0"/>
          <w:dstrike w:val="0"/>
          <w:color w:val="FF0000"/>
          <w:szCs w:val="22"/>
          <w:highlight w:val="none"/>
          <w:u w:val="single"/>
        </w:rPr>
        <w:t>)性能标准</w:t>
      </w:r>
      <w:r>
        <w:rPr>
          <w:rFonts w:hint="eastAsia" w:ascii="Times New Roman" w:hAnsi="Times New Roman"/>
          <w:strike w:val="0"/>
          <w:dstrike w:val="0"/>
          <w:color w:val="FF0000"/>
          <w:szCs w:val="22"/>
          <w:highlight w:val="none"/>
          <w:u w:val="single"/>
          <w:lang w:eastAsia="zh-CN"/>
        </w:rPr>
        <w:t>》</w:t>
      </w:r>
      <w:r>
        <w:rPr>
          <w:rFonts w:hint="default" w:ascii="Times New Roman" w:hAnsi="Times New Roman" w:cs="Times New Roman"/>
          <w:strike w:val="0"/>
          <w:dstrike w:val="0"/>
          <w:color w:val="FF0000"/>
          <w:highlight w:val="none"/>
          <w:u w:val="single"/>
        </w:rPr>
        <w:t>附件规定的性能标准。</w:t>
      </w:r>
      <w:r>
        <w:rPr>
          <w:rFonts w:hint="eastAsia" w:ascii="Times New Roman" w:hAnsi="Times New Roman"/>
          <w:strike w:val="0"/>
          <w:dstrike w:val="0"/>
          <w:color w:val="FF0000"/>
          <w:szCs w:val="22"/>
          <w:highlight w:val="none"/>
          <w:u w:val="single"/>
          <w:lang w:eastAsia="zh-CN"/>
        </w:rPr>
        <w:t>”</w:t>
      </w:r>
    </w:p>
    <w:p>
      <w:pPr>
        <w:ind w:firstLine="420" w:firstLineChars="200"/>
        <w:rPr>
          <w:rFonts w:hint="default" w:ascii="Times New Roman" w:hAnsi="Times New Roman" w:eastAsia="楷体" w:cs="Times New Roman"/>
          <w:sz w:val="21"/>
          <w:szCs w:val="21"/>
          <w:highlight w:val="none"/>
          <w:lang w:eastAsia="zh-CN"/>
        </w:rPr>
      </w:pPr>
    </w:p>
    <w:p>
      <w:pPr>
        <w:rPr>
          <w:rFonts w:hint="eastAsia" w:ascii="Times New Roman" w:hAnsi="Times New Roman"/>
          <w:color w:val="FF0000"/>
          <w:szCs w:val="22"/>
          <w:highlight w:val="none"/>
          <w:u w:val="single"/>
        </w:rPr>
      </w:pPr>
    </w:p>
    <w:p>
      <w:pPr>
        <w:rPr>
          <w:highlight w:val="none"/>
        </w:rPr>
      </w:pPr>
      <w:r>
        <w:rPr>
          <w:highlight w:val="none"/>
        </w:rPr>
        <w:br w:type="page"/>
      </w:r>
    </w:p>
    <w:p>
      <w:pPr>
        <w:pStyle w:val="2"/>
        <w:spacing w:after="120"/>
        <w:ind w:left="0"/>
        <w:jc w:val="center"/>
        <w:rPr>
          <w:rFonts w:cstheme="minorBidi"/>
          <w:bCs w:val="0"/>
          <w:caps w:val="0"/>
          <w:kern w:val="2"/>
          <w:sz w:val="32"/>
          <w:highlight w:val="none"/>
          <w:lang w:val="en-US"/>
        </w:rPr>
      </w:pPr>
      <w:bookmarkStart w:id="83" w:name="_Toc31789"/>
      <w:r>
        <w:rPr>
          <w:rFonts w:cstheme="minorBidi"/>
          <w:bCs w:val="0"/>
          <w:caps w:val="0"/>
          <w:kern w:val="2"/>
          <w:sz w:val="32"/>
          <w:highlight w:val="none"/>
          <w:lang w:val="en-US"/>
        </w:rPr>
        <w:t>第</w:t>
      </w:r>
      <w:r>
        <w:rPr>
          <w:rFonts w:hint="eastAsia" w:cstheme="minorBidi"/>
          <w:bCs w:val="0"/>
          <w:caps w:val="0"/>
          <w:kern w:val="2"/>
          <w:sz w:val="32"/>
          <w:highlight w:val="none"/>
          <w:lang w:val="en-US" w:eastAsia="zh-CN"/>
        </w:rPr>
        <w:t>6</w:t>
      </w:r>
      <w:r>
        <w:rPr>
          <w:rFonts w:cstheme="minorBidi"/>
          <w:bCs w:val="0"/>
          <w:caps w:val="0"/>
          <w:kern w:val="2"/>
          <w:sz w:val="32"/>
          <w:highlight w:val="none"/>
          <w:lang w:val="en-US"/>
        </w:rPr>
        <w:t>章　</w:t>
      </w:r>
      <w:r>
        <w:rPr>
          <w:rFonts w:hint="eastAsia" w:cstheme="minorBidi"/>
          <w:bCs w:val="0"/>
          <w:caps w:val="0"/>
          <w:kern w:val="2"/>
          <w:sz w:val="32"/>
          <w:highlight w:val="none"/>
          <w:lang w:val="en-US" w:eastAsia="zh-CN"/>
        </w:rPr>
        <w:t>货物和燃油装运</w:t>
      </w:r>
      <w:r>
        <w:rPr>
          <w:rFonts w:hint="default" w:ascii="Times New Roman" w:hAnsi="Times New Roman" w:cs="Times New Roman"/>
          <w:bCs w:val="0"/>
          <w:caps w:val="0"/>
          <w:kern w:val="2"/>
          <w:sz w:val="32"/>
          <w:szCs w:val="32"/>
          <w:highlight w:val="none"/>
          <w:lang w:val="en-US"/>
        </w:rPr>
        <w:t>（SOLAS公约第</w:t>
      </w:r>
      <w:r>
        <w:rPr>
          <w:rFonts w:hint="default" w:ascii="Times New Roman" w:hAnsi="Times New Roman" w:cs="Times New Roman"/>
          <w:bCs w:val="0"/>
          <w:caps w:val="0"/>
          <w:kern w:val="2"/>
          <w:sz w:val="32"/>
          <w:szCs w:val="32"/>
          <w:highlight w:val="none"/>
          <w:lang w:val="en-US"/>
        </w:rPr>
        <w:fldChar w:fldCharType="begin"/>
      </w:r>
      <w:r>
        <w:rPr>
          <w:rFonts w:hint="default" w:ascii="Times New Roman" w:hAnsi="Times New Roman" w:cs="Times New Roman"/>
          <w:bCs w:val="0"/>
          <w:caps w:val="0"/>
          <w:kern w:val="2"/>
          <w:sz w:val="32"/>
          <w:szCs w:val="32"/>
          <w:highlight w:val="none"/>
          <w:lang w:val="en-US"/>
        </w:rPr>
        <w:instrText xml:space="preserve"> = 6 \* ROMAN \* MERGEFORMAT </w:instrText>
      </w:r>
      <w:r>
        <w:rPr>
          <w:rFonts w:hint="default" w:ascii="Times New Roman" w:hAnsi="Times New Roman" w:cs="Times New Roman"/>
          <w:bCs w:val="0"/>
          <w:caps w:val="0"/>
          <w:kern w:val="2"/>
          <w:sz w:val="32"/>
          <w:szCs w:val="32"/>
          <w:highlight w:val="none"/>
          <w:lang w:val="en-US"/>
        </w:rPr>
        <w:fldChar w:fldCharType="separate"/>
      </w:r>
      <w:r>
        <w:rPr>
          <w:rFonts w:hint="default" w:ascii="Times New Roman" w:hAnsi="Times New Roman" w:cs="Times New Roman"/>
          <w:sz w:val="32"/>
          <w:szCs w:val="32"/>
          <w:highlight w:val="none"/>
        </w:rPr>
        <w:t>VI</w:t>
      </w:r>
      <w:r>
        <w:rPr>
          <w:rFonts w:hint="default" w:ascii="Times New Roman" w:hAnsi="Times New Roman" w:cs="Times New Roman"/>
          <w:bCs w:val="0"/>
          <w:caps w:val="0"/>
          <w:kern w:val="2"/>
          <w:sz w:val="32"/>
          <w:szCs w:val="32"/>
          <w:highlight w:val="none"/>
          <w:lang w:val="en-US"/>
        </w:rPr>
        <w:fldChar w:fldCharType="end"/>
      </w:r>
      <w:r>
        <w:rPr>
          <w:rFonts w:hint="default" w:ascii="Times New Roman" w:hAnsi="Times New Roman" w:cs="Times New Roman"/>
          <w:bCs w:val="0"/>
          <w:caps w:val="0"/>
          <w:kern w:val="2"/>
          <w:sz w:val="32"/>
          <w:szCs w:val="32"/>
          <w:highlight w:val="none"/>
          <w:lang w:val="en-US"/>
        </w:rPr>
        <w:t>章）</w:t>
      </w:r>
      <w:bookmarkEnd w:id="83"/>
    </w:p>
    <w:p>
      <w:pPr>
        <w:pStyle w:val="3"/>
        <w:ind w:left="0"/>
        <w:jc w:val="center"/>
        <w:rPr>
          <w:rFonts w:hint="default" w:ascii="Times New Roman" w:hAnsi="Times New Roman" w:eastAsiaTheme="minorEastAsia" w:cstheme="minorBidi"/>
          <w:bCs w:val="0"/>
          <w:caps w:val="0"/>
          <w:kern w:val="0"/>
          <w:sz w:val="21"/>
          <w:szCs w:val="21"/>
          <w:highlight w:val="none"/>
          <w:lang w:val="en-US" w:eastAsia="zh-CN"/>
        </w:rPr>
      </w:pPr>
      <w:bookmarkStart w:id="84" w:name="_Toc551"/>
      <w:r>
        <w:rPr>
          <w:rFonts w:hint="eastAsia" w:ascii="Times New Roman" w:hAnsi="Times New Roman" w:cstheme="minorBidi"/>
          <w:bCs w:val="0"/>
          <w:caps w:val="0"/>
          <w:kern w:val="0"/>
          <w:sz w:val="21"/>
          <w:szCs w:val="21"/>
          <w:highlight w:val="none"/>
          <w:lang w:val="en-US" w:eastAsia="zh-CN"/>
        </w:rPr>
        <w:t>A部分  一 般 规 定</w:t>
      </w:r>
      <w:bookmarkEnd w:id="84"/>
    </w:p>
    <w:p>
      <w:pPr>
        <w:keepNext w:val="0"/>
        <w:keepLines w:val="0"/>
        <w:pageBreakBefore w:val="0"/>
        <w:widowControl/>
        <w:kinsoku/>
        <w:wordWrap/>
        <w:overflowPunct/>
        <w:topLinePunct w:val="0"/>
        <w:autoSpaceDE/>
        <w:autoSpaceDN/>
        <w:bidi w:val="0"/>
        <w:adjustRightInd/>
        <w:snapToGrid/>
        <w:ind w:left="0"/>
        <w:jc w:val="center"/>
        <w:textAlignment w:val="auto"/>
        <w:outlineLvl w:val="9"/>
        <w:rPr>
          <w:rFonts w:hint="eastAsia" w:ascii="Times New Roman" w:hAnsi="Times New Roman" w:cstheme="minorBidi"/>
          <w:bCs w:val="0"/>
          <w:caps w:val="0"/>
          <w:kern w:val="0"/>
          <w:sz w:val="21"/>
          <w:szCs w:val="21"/>
          <w:highlight w:val="none"/>
          <w:lang w:val="en-US"/>
        </w:rPr>
      </w:pPr>
    </w:p>
    <w:p>
      <w:pPr>
        <w:pStyle w:val="3"/>
        <w:ind w:left="0"/>
        <w:jc w:val="center"/>
        <w:rPr>
          <w:rFonts w:hint="eastAsia" w:ascii="Times New Roman" w:hAnsi="Times New Roman" w:eastAsiaTheme="minorEastAsia" w:cstheme="minorBidi"/>
          <w:bCs w:val="0"/>
          <w:caps w:val="0"/>
          <w:kern w:val="0"/>
          <w:sz w:val="21"/>
          <w:szCs w:val="21"/>
          <w:highlight w:val="none"/>
          <w:lang w:val="en-US" w:eastAsia="zh-CN"/>
        </w:rPr>
      </w:pPr>
      <w:bookmarkStart w:id="85" w:name="_Toc13628"/>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5</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堆装和系固</w:t>
      </w:r>
      <w:bookmarkEnd w:id="85"/>
    </w:p>
    <w:p>
      <w:pPr>
        <w:spacing w:after="156" w:afterLines="50"/>
        <w:rPr>
          <w:rFonts w:ascii="楷体" w:hAnsi="楷体" w:eastAsia="楷体"/>
          <w:szCs w:val="22"/>
          <w:highlight w:val="none"/>
        </w:rPr>
      </w:pPr>
    </w:p>
    <w:p>
      <w:pPr>
        <w:spacing w:after="156" w:afterLines="50"/>
        <w:rPr>
          <w:rFonts w:ascii="楷体" w:hAnsi="楷体" w:eastAsia="楷体"/>
          <w:szCs w:val="22"/>
          <w:highlight w:val="none"/>
        </w:rPr>
      </w:pPr>
      <w:r>
        <w:rPr>
          <w:rFonts w:hint="eastAsia" w:ascii="楷体" w:hAnsi="楷体" w:eastAsia="楷体"/>
          <w:szCs w:val="22"/>
          <w:highlight w:val="none"/>
          <w:lang w:val="en-US" w:eastAsia="zh-CN"/>
        </w:rPr>
        <w:t>原6</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4 \* GB3 \* MERGEFORMAT </w:instrText>
      </w:r>
      <w:r>
        <w:rPr>
          <w:rFonts w:hint="eastAsia" w:ascii="楷体" w:hAnsi="楷体" w:eastAsia="楷体"/>
          <w:szCs w:val="22"/>
          <w:highlight w:val="none"/>
        </w:rPr>
        <w:fldChar w:fldCharType="separate"/>
      </w:r>
      <w:r>
        <w:t>④</w:t>
      </w:r>
      <w:r>
        <w:rPr>
          <w:rFonts w:hint="eastAsia" w:ascii="楷体" w:hAnsi="楷体" w:eastAsia="楷体"/>
          <w:szCs w:val="22"/>
          <w:highlight w:val="none"/>
        </w:rPr>
        <w:fldChar w:fldCharType="end"/>
      </w:r>
      <w:r>
        <w:rPr>
          <w:rFonts w:hint="eastAsia" w:ascii="楷体" w:hAnsi="楷体" w:eastAsia="楷体"/>
          <w:highlight w:val="none"/>
          <w:lang w:eastAsia="zh-CN"/>
        </w:rPr>
        <w:t>改为</w:t>
      </w:r>
      <w:r>
        <w:rPr>
          <w:rFonts w:ascii="楷体" w:hAnsi="楷体" w:eastAsia="楷体"/>
          <w:szCs w:val="22"/>
          <w:highlight w:val="none"/>
        </w:rPr>
        <w:t>：</w:t>
      </w:r>
    </w:p>
    <w:p>
      <w:pPr>
        <w:ind w:firstLine="420" w:firstLineChars="200"/>
        <w:rPr>
          <w:rFonts w:hint="eastAsia"/>
          <w:highlight w:val="none"/>
        </w:rPr>
      </w:pPr>
      <w:r>
        <w:rPr>
          <w:rFonts w:hint="eastAsia" w:ascii="Times New Roman" w:hAnsi="Times New Roman"/>
          <w:szCs w:val="22"/>
          <w:highlight w:val="none"/>
        </w:rPr>
        <w:t>“</w:t>
      </w:r>
      <w:r>
        <w:rPr>
          <w:rFonts w:hint="eastAsia" w:ascii="Times New Roman" w:hAnsi="Times New Roman"/>
          <w:szCs w:val="22"/>
          <w:highlight w:val="none"/>
        </w:rPr>
        <w:fldChar w:fldCharType="begin"/>
      </w:r>
      <w:r>
        <w:rPr>
          <w:rFonts w:hint="eastAsia" w:ascii="Times New Roman" w:hAnsi="Times New Roman"/>
          <w:szCs w:val="22"/>
          <w:highlight w:val="none"/>
        </w:rPr>
        <w:instrText xml:space="preserve"> = 4 \* GB3 \* MERGEFORMAT </w:instrText>
      </w:r>
      <w:r>
        <w:rPr>
          <w:rFonts w:hint="eastAsia" w:ascii="Times New Roman" w:hAnsi="Times New Roman"/>
          <w:szCs w:val="22"/>
          <w:highlight w:val="none"/>
        </w:rPr>
        <w:fldChar w:fldCharType="separate"/>
      </w:r>
      <w:r>
        <w:t>④</w:t>
      </w:r>
      <w:r>
        <w:rPr>
          <w:rFonts w:hint="eastAsia" w:ascii="Times New Roman" w:hAnsi="Times New Roman"/>
          <w:szCs w:val="22"/>
          <w:highlight w:val="none"/>
        </w:rPr>
        <w:fldChar w:fldCharType="end"/>
      </w:r>
      <w:r>
        <w:rPr>
          <w:color w:val="auto"/>
          <w:highlight w:val="none"/>
        </w:rPr>
        <w:t>参见</w:t>
      </w:r>
      <w:r>
        <w:rPr>
          <w:rFonts w:hint="default" w:ascii="Times New Roman" w:hAnsi="Times New Roman" w:cs="Times New Roman"/>
          <w:strike/>
          <w:color w:val="FF0000"/>
        </w:rPr>
        <w:t>《货物系固手册编制指南》（MSC/Circ.745通函）</w:t>
      </w:r>
      <w:r>
        <w:rPr>
          <w:rFonts w:hint="eastAsia"/>
          <w:color w:val="FF0000"/>
          <w:highlight w:val="none"/>
        </w:rPr>
        <w:t>《经修订的货物系固手册编制指</w:t>
      </w:r>
      <w:r>
        <w:rPr>
          <w:rFonts w:hint="default" w:ascii="Times New Roman" w:hAnsi="Times New Roman" w:cs="Times New Roman"/>
          <w:color w:val="FF0000"/>
          <w:highlight w:val="none"/>
        </w:rPr>
        <w:t>南》（MSC/Circ.1353/Rev.2通函</w:t>
      </w:r>
      <w:r>
        <w:rPr>
          <w:rFonts w:hint="eastAsia"/>
          <w:color w:val="FF0000"/>
          <w:highlight w:val="none"/>
          <w:lang w:eastAsia="zh-CN"/>
        </w:rPr>
        <w:t>）</w:t>
      </w:r>
      <w:r>
        <w:rPr>
          <w:rFonts w:hint="eastAsia"/>
          <w:highlight w:val="none"/>
          <w:lang w:eastAsia="zh-CN"/>
        </w:rPr>
        <w:t>。”</w:t>
      </w:r>
    </w:p>
    <w:p>
      <w:pPr>
        <w:ind w:firstLine="420" w:firstLineChars="200"/>
        <w:rPr>
          <w:rFonts w:hint="eastAsia" w:ascii="楷体" w:hAnsi="楷体" w:eastAsia="楷体" w:cs="楷体"/>
          <w:snapToGrid w:val="0"/>
          <w:color w:val="040AFA"/>
          <w:kern w:val="0"/>
          <w:sz w:val="21"/>
          <w:szCs w:val="21"/>
          <w:lang w:val="en-US" w:eastAsia="zh-CN"/>
        </w:rPr>
      </w:pPr>
    </w:p>
    <w:p>
      <w:pPr>
        <w:ind w:firstLine="480" w:firstLineChars="200"/>
        <w:rPr>
          <w:rFonts w:hint="default" w:ascii="楷体" w:hAnsi="楷体" w:eastAsia="楷体" w:cs="楷体"/>
          <w:snapToGrid w:val="0"/>
          <w:color w:val="040AFA"/>
          <w:kern w:val="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ind w:firstLine="437"/>
        <w:jc w:val="center"/>
        <w:textAlignment w:val="auto"/>
        <w:outlineLvl w:val="1"/>
        <w:rPr>
          <w:b/>
          <w:szCs w:val="22"/>
          <w:highlight w:val="none"/>
        </w:rPr>
      </w:pPr>
      <w:bookmarkStart w:id="86" w:name="_Toc29794"/>
      <w:r>
        <w:rPr>
          <w:rFonts w:hint="eastAsia" w:ascii="Times New Roman" w:hAnsi="Times New Roman" w:eastAsiaTheme="minorEastAsia" w:cstheme="minorBidi"/>
          <w:b/>
          <w:bCs w:val="0"/>
          <w:caps w:val="0"/>
          <w:kern w:val="0"/>
          <w:sz w:val="21"/>
          <w:szCs w:val="21"/>
          <w:highlight w:val="none"/>
          <w:lang w:val="en-US" w:eastAsia="zh-CN" w:bidi="ar-SA"/>
        </w:rPr>
        <w:t>第5-2条　禁止在海上航行时进行散装液体货物混合和生产作业</w:t>
      </w:r>
      <w:bookmarkEnd w:id="86"/>
    </w:p>
    <w:p>
      <w:pPr>
        <w:spacing w:after="156" w:afterLines="50"/>
        <w:rPr>
          <w:rFonts w:hint="eastAsia" w:ascii="楷体" w:hAnsi="楷体" w:eastAsia="楷体"/>
          <w:szCs w:val="22"/>
          <w:highlight w:val="none"/>
          <w:lang w:eastAsia="zh-CN"/>
        </w:rPr>
      </w:pPr>
    </w:p>
    <w:p>
      <w:pPr>
        <w:spacing w:after="156" w:afterLines="50"/>
        <w:rPr>
          <w:rFonts w:ascii="楷体" w:hAnsi="楷体" w:eastAsia="楷体"/>
          <w:szCs w:val="22"/>
          <w:highlight w:val="none"/>
        </w:rPr>
      </w:pPr>
      <w:r>
        <w:rPr>
          <w:rFonts w:hint="eastAsia" w:ascii="楷体" w:hAnsi="楷体" w:eastAsia="楷体"/>
          <w:szCs w:val="22"/>
          <w:highlight w:val="none"/>
          <w:lang w:val="en-US" w:eastAsia="zh-CN"/>
        </w:rPr>
        <w:t>原4</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1 \* GB3 \* MERGEFORMAT </w:instrText>
      </w:r>
      <w:r>
        <w:rPr>
          <w:rFonts w:hint="eastAsia" w:ascii="楷体" w:hAnsi="楷体" w:eastAsia="楷体"/>
          <w:szCs w:val="22"/>
          <w:highlight w:val="none"/>
        </w:rPr>
        <w:fldChar w:fldCharType="separate"/>
      </w:r>
      <w:r>
        <w:t>①</w:t>
      </w:r>
      <w:r>
        <w:rPr>
          <w:rFonts w:hint="eastAsia" w:ascii="楷体" w:hAnsi="楷体" w:eastAsia="楷体"/>
          <w:szCs w:val="22"/>
          <w:highlight w:val="none"/>
        </w:rPr>
        <w:fldChar w:fldCharType="end"/>
      </w:r>
      <w:r>
        <w:rPr>
          <w:rFonts w:hint="eastAsia" w:ascii="楷体" w:hAnsi="楷体" w:eastAsia="楷体"/>
          <w:highlight w:val="none"/>
          <w:lang w:eastAsia="zh-CN"/>
        </w:rPr>
        <w:t>改为</w:t>
      </w:r>
      <w:r>
        <w:rPr>
          <w:rFonts w:ascii="楷体" w:hAnsi="楷体" w:eastAsia="楷体"/>
          <w:szCs w:val="22"/>
          <w:highlight w:val="none"/>
        </w:rPr>
        <w:t>：</w:t>
      </w:r>
    </w:p>
    <w:p>
      <w:pPr>
        <w:ind w:firstLine="420" w:firstLineChars="200"/>
        <w:rPr>
          <w:rFonts w:hint="eastAsia"/>
          <w:highlight w:val="none"/>
          <w:lang w:eastAsia="zh-CN"/>
        </w:rPr>
      </w:pPr>
      <w:r>
        <w:rPr>
          <w:rFonts w:hint="eastAsia"/>
          <w:highlight w:val="none"/>
        </w:rPr>
        <w:t>“</w:t>
      </w:r>
      <w:r>
        <w:rPr>
          <w:rFonts w:hint="eastAsia"/>
          <w:highlight w:val="none"/>
        </w:rPr>
        <w:fldChar w:fldCharType="begin"/>
      </w:r>
      <w:r>
        <w:rPr>
          <w:rFonts w:hint="eastAsia"/>
          <w:highlight w:val="none"/>
        </w:rPr>
        <w:instrText xml:space="preserve"> = 1 \* GB3 \* MERGEFORMAT </w:instrText>
      </w:r>
      <w:r>
        <w:rPr>
          <w:rFonts w:hint="eastAsia"/>
          <w:highlight w:val="none"/>
        </w:rPr>
        <w:fldChar w:fldCharType="separate"/>
      </w:r>
      <w:r>
        <w:t>①</w:t>
      </w:r>
      <w:r>
        <w:rPr>
          <w:rFonts w:hint="eastAsia"/>
          <w:highlight w:val="none"/>
        </w:rPr>
        <w:fldChar w:fldCharType="end"/>
      </w:r>
      <w:r>
        <w:rPr>
          <w:rFonts w:hint="default" w:ascii="Times New Roman" w:hAnsi="Times New Roman" w:cs="Times New Roman"/>
          <w:strike w:val="0"/>
          <w:dstrike w:val="0"/>
          <w:color w:val="auto"/>
        </w:rPr>
        <w:t>参见</w:t>
      </w:r>
      <w:r>
        <w:rPr>
          <w:rFonts w:hint="default" w:ascii="Times New Roman" w:hAnsi="Times New Roman" w:cs="Times New Roman"/>
          <w:strike/>
          <w:dstrike w:val="0"/>
          <w:color w:val="auto"/>
        </w:rPr>
        <w:t>《近海供应船散装运输和装卸有限数量有毒有害液体物质指南》（经修正的A.673(16)决</w:t>
      </w:r>
      <w:r>
        <w:rPr>
          <w:rFonts w:hint="eastAsia"/>
          <w:strike/>
          <w:dstrike w:val="0"/>
          <w:color w:val="auto"/>
        </w:rPr>
        <w:t>议）</w:t>
      </w:r>
      <w:r>
        <w:rPr>
          <w:rFonts w:hint="eastAsia" w:ascii="Times New Roman" w:hAnsi="Times New Roman" w:cs="Times New Roman"/>
          <w:color w:val="FF0000"/>
          <w:highlight w:val="none"/>
          <w:u w:val="single"/>
        </w:rPr>
        <w:t>《近海供</w:t>
      </w:r>
      <w:r>
        <w:rPr>
          <w:rFonts w:hint="eastAsia"/>
          <w:color w:val="FF0000"/>
          <w:highlight w:val="none"/>
          <w:u w:val="single"/>
        </w:rPr>
        <w:t>应船散装运输和装卸有害有毒液体物质规</w:t>
      </w:r>
      <w:r>
        <w:rPr>
          <w:rFonts w:hint="eastAsia" w:ascii="Times New Roman" w:hAnsi="Times New Roman" w:cs="Times New Roman"/>
          <w:color w:val="FF0000"/>
          <w:highlight w:val="none"/>
          <w:u w:val="single"/>
        </w:rPr>
        <w:t>则》（A.1122(30)决</w:t>
      </w:r>
      <w:r>
        <w:rPr>
          <w:rFonts w:hint="eastAsia"/>
          <w:color w:val="FF0000"/>
          <w:highlight w:val="none"/>
          <w:u w:val="single"/>
        </w:rPr>
        <w:t>议）</w:t>
      </w:r>
      <w:r>
        <w:rPr>
          <w:rFonts w:hint="eastAsia"/>
          <w:highlight w:val="none"/>
          <w:lang w:eastAsia="zh-CN"/>
        </w:rPr>
        <w:t>”</w:t>
      </w:r>
    </w:p>
    <w:p>
      <w:pPr>
        <w:ind w:firstLine="420" w:firstLineChars="200"/>
        <w:rPr>
          <w:highlight w:val="none"/>
        </w:rPr>
      </w:pPr>
      <w:r>
        <w:rPr>
          <w:highlight w:val="none"/>
        </w:rPr>
        <w:br w:type="page"/>
      </w:r>
    </w:p>
    <w:p>
      <w:pPr>
        <w:pStyle w:val="2"/>
        <w:spacing w:after="120"/>
        <w:ind w:left="0"/>
        <w:jc w:val="center"/>
        <w:rPr>
          <w:rFonts w:cstheme="minorBidi"/>
          <w:bCs w:val="0"/>
          <w:caps w:val="0"/>
          <w:kern w:val="2"/>
          <w:sz w:val="32"/>
          <w:highlight w:val="none"/>
          <w:lang w:val="en-US"/>
        </w:rPr>
      </w:pPr>
      <w:bookmarkStart w:id="87" w:name="_Toc30573"/>
      <w:r>
        <w:rPr>
          <w:rFonts w:cstheme="minorBidi"/>
          <w:bCs w:val="0"/>
          <w:caps w:val="0"/>
          <w:kern w:val="2"/>
          <w:sz w:val="32"/>
          <w:highlight w:val="none"/>
          <w:lang w:val="en-US"/>
        </w:rPr>
        <w:t>第</w:t>
      </w:r>
      <w:r>
        <w:rPr>
          <w:rFonts w:hint="eastAsia" w:cstheme="minorBidi"/>
          <w:bCs w:val="0"/>
          <w:caps w:val="0"/>
          <w:kern w:val="2"/>
          <w:sz w:val="32"/>
          <w:highlight w:val="none"/>
          <w:lang w:val="en-US" w:eastAsia="zh-CN"/>
        </w:rPr>
        <w:t>7</w:t>
      </w:r>
      <w:r>
        <w:rPr>
          <w:rFonts w:cstheme="minorBidi"/>
          <w:bCs w:val="0"/>
          <w:caps w:val="0"/>
          <w:kern w:val="2"/>
          <w:sz w:val="32"/>
          <w:highlight w:val="none"/>
          <w:lang w:val="en-US"/>
        </w:rPr>
        <w:t>章　</w:t>
      </w:r>
      <w:r>
        <w:rPr>
          <w:rFonts w:hint="eastAsia" w:cstheme="minorBidi"/>
          <w:bCs w:val="0"/>
          <w:caps w:val="0"/>
          <w:kern w:val="2"/>
          <w:sz w:val="32"/>
          <w:highlight w:val="none"/>
          <w:lang w:val="en-US" w:eastAsia="zh-CN"/>
        </w:rPr>
        <w:t>危险货物的装运</w:t>
      </w:r>
      <w:r>
        <w:rPr>
          <w:rFonts w:hint="default" w:ascii="Times New Roman" w:hAnsi="Times New Roman" w:cs="Times New Roman"/>
          <w:bCs w:val="0"/>
          <w:caps w:val="0"/>
          <w:kern w:val="2"/>
          <w:sz w:val="32"/>
          <w:szCs w:val="32"/>
          <w:highlight w:val="none"/>
          <w:lang w:val="en-US"/>
        </w:rPr>
        <w:t>（SOLAS公约第</w:t>
      </w:r>
      <w:r>
        <w:rPr>
          <w:rFonts w:hint="default" w:ascii="Times New Roman" w:hAnsi="Times New Roman" w:cs="Times New Roman"/>
          <w:bCs w:val="0"/>
          <w:caps w:val="0"/>
          <w:kern w:val="2"/>
          <w:sz w:val="32"/>
          <w:szCs w:val="32"/>
          <w:highlight w:val="none"/>
          <w:lang w:val="en-US"/>
        </w:rPr>
        <w:fldChar w:fldCharType="begin"/>
      </w:r>
      <w:r>
        <w:rPr>
          <w:rFonts w:hint="default" w:ascii="Times New Roman" w:hAnsi="Times New Roman" w:cs="Times New Roman"/>
          <w:bCs w:val="0"/>
          <w:caps w:val="0"/>
          <w:kern w:val="2"/>
          <w:sz w:val="32"/>
          <w:szCs w:val="32"/>
          <w:highlight w:val="none"/>
          <w:lang w:val="en-US"/>
        </w:rPr>
        <w:instrText xml:space="preserve"> = 7 \* ROMAN \* MERGEFORMAT </w:instrText>
      </w:r>
      <w:r>
        <w:rPr>
          <w:rFonts w:hint="default" w:ascii="Times New Roman" w:hAnsi="Times New Roman" w:cs="Times New Roman"/>
          <w:bCs w:val="0"/>
          <w:caps w:val="0"/>
          <w:kern w:val="2"/>
          <w:sz w:val="32"/>
          <w:szCs w:val="32"/>
          <w:highlight w:val="none"/>
          <w:lang w:val="en-US"/>
        </w:rPr>
        <w:fldChar w:fldCharType="separate"/>
      </w:r>
      <w:r>
        <w:rPr>
          <w:rFonts w:hint="default" w:ascii="Times New Roman" w:hAnsi="Times New Roman" w:cs="Times New Roman"/>
          <w:bCs w:val="0"/>
          <w:caps w:val="0"/>
          <w:kern w:val="2"/>
          <w:sz w:val="32"/>
          <w:szCs w:val="32"/>
          <w:highlight w:val="none"/>
          <w:lang w:val="en-US"/>
        </w:rPr>
        <w:t>VII</w:t>
      </w:r>
      <w:r>
        <w:rPr>
          <w:rFonts w:hint="default" w:ascii="Times New Roman" w:hAnsi="Times New Roman" w:cs="Times New Roman"/>
          <w:bCs w:val="0"/>
          <w:caps w:val="0"/>
          <w:kern w:val="2"/>
          <w:sz w:val="32"/>
          <w:szCs w:val="32"/>
          <w:highlight w:val="none"/>
          <w:lang w:val="en-US"/>
        </w:rPr>
        <w:fldChar w:fldCharType="end"/>
      </w:r>
      <w:r>
        <w:rPr>
          <w:rFonts w:hint="default" w:ascii="Times New Roman" w:hAnsi="Times New Roman" w:cs="Times New Roman"/>
          <w:bCs w:val="0"/>
          <w:caps w:val="0"/>
          <w:kern w:val="2"/>
          <w:sz w:val="32"/>
          <w:szCs w:val="32"/>
          <w:highlight w:val="none"/>
          <w:lang w:val="en-US"/>
        </w:rPr>
        <w:t>章）</w:t>
      </w:r>
      <w:bookmarkEnd w:id="87"/>
    </w:p>
    <w:p>
      <w:pPr>
        <w:pStyle w:val="3"/>
        <w:ind w:left="0"/>
        <w:jc w:val="center"/>
        <w:rPr>
          <w:rFonts w:hint="default" w:ascii="Times New Roman" w:hAnsi="Times New Roman" w:cs="Times New Roman" w:eastAsiaTheme="minorEastAsia"/>
          <w:bCs w:val="0"/>
          <w:caps w:val="0"/>
          <w:kern w:val="0"/>
          <w:sz w:val="21"/>
          <w:szCs w:val="21"/>
          <w:highlight w:val="none"/>
          <w:lang w:val="en-US" w:eastAsia="zh-CN"/>
        </w:rPr>
      </w:pPr>
      <w:bookmarkStart w:id="88" w:name="_Toc4040"/>
      <w:r>
        <w:rPr>
          <w:rFonts w:hint="default" w:ascii="Times New Roman" w:hAnsi="Times New Roman" w:cs="Times New Roman"/>
          <w:bCs w:val="0"/>
          <w:caps w:val="0"/>
          <w:kern w:val="0"/>
          <w:sz w:val="21"/>
          <w:szCs w:val="21"/>
          <w:highlight w:val="none"/>
          <w:lang w:val="en-US" w:eastAsia="zh-CN"/>
        </w:rPr>
        <w:t>A部分  包装危险货物的装运</w:t>
      </w:r>
      <w:bookmarkEnd w:id="88"/>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eastAsia" w:ascii="Times New Roman" w:hAnsi="Times New Roman" w:eastAsiaTheme="minorEastAsia" w:cstheme="minorBidi"/>
          <w:bCs w:val="0"/>
          <w:caps w:val="0"/>
          <w:kern w:val="0"/>
          <w:sz w:val="21"/>
          <w:szCs w:val="21"/>
          <w:highlight w:val="none"/>
          <w:lang w:val="en-US" w:eastAsia="zh-CN"/>
        </w:rPr>
      </w:pPr>
      <w:bookmarkStart w:id="89" w:name="_Toc31092"/>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5</w:t>
      </w:r>
      <w:r>
        <w:rPr>
          <w:rFonts w:hint="eastAsia" w:ascii="Times New Roman" w:hAnsi="Times New Roman" w:cstheme="minorBidi"/>
          <w:bCs w:val="0"/>
          <w:caps w:val="0"/>
          <w:kern w:val="0"/>
          <w:sz w:val="21"/>
          <w:szCs w:val="21"/>
          <w:highlight w:val="none"/>
          <w:lang w:val="en-US"/>
        </w:rPr>
        <w:t>条　</w:t>
      </w:r>
      <w:r>
        <w:rPr>
          <w:rFonts w:hint="eastAsia" w:ascii="Times New Roman" w:hAnsi="Times New Roman" w:cstheme="minorBidi"/>
          <w:bCs w:val="0"/>
          <w:caps w:val="0"/>
          <w:kern w:val="0"/>
          <w:sz w:val="21"/>
          <w:szCs w:val="21"/>
          <w:highlight w:val="none"/>
          <w:lang w:val="en-US" w:eastAsia="zh-CN"/>
        </w:rPr>
        <w:t>货物系固手册</w:t>
      </w:r>
      <w:bookmarkEnd w:id="89"/>
    </w:p>
    <w:p>
      <w:pPr>
        <w:spacing w:after="156" w:afterLines="50"/>
        <w:rPr>
          <w:rFonts w:hint="eastAsia" w:ascii="楷体" w:hAnsi="楷体" w:eastAsia="楷体"/>
          <w:szCs w:val="22"/>
          <w:highlight w:val="none"/>
          <w:lang w:eastAsia="zh-CN"/>
        </w:rPr>
      </w:pPr>
    </w:p>
    <w:p>
      <w:pPr>
        <w:spacing w:after="156" w:afterLines="50"/>
        <w:ind w:firstLine="420" w:firstLineChars="200"/>
        <w:rPr>
          <w:rFonts w:ascii="楷体" w:hAnsi="楷体" w:eastAsia="楷体"/>
          <w:szCs w:val="22"/>
          <w:highlight w:val="none"/>
        </w:rPr>
      </w:pPr>
      <w:r>
        <w:rPr>
          <w:rFonts w:hint="eastAsia" w:ascii="楷体" w:hAnsi="楷体" w:eastAsia="楷体"/>
          <w:szCs w:val="22"/>
          <w:highlight w:val="none"/>
          <w:lang w:eastAsia="zh-CN"/>
        </w:rPr>
        <w:t>本条内原第</w:t>
      </w:r>
      <w:r>
        <w:rPr>
          <w:rFonts w:hint="eastAsia" w:ascii="楷体" w:hAnsi="楷体" w:eastAsia="楷体"/>
          <w:szCs w:val="22"/>
          <w:highlight w:val="none"/>
          <w:lang w:val="en-US" w:eastAsia="zh-CN"/>
        </w:rPr>
        <w:t>1个</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1 \* GB3 \* MERGEFORMAT </w:instrText>
      </w:r>
      <w:r>
        <w:rPr>
          <w:rFonts w:hint="eastAsia" w:ascii="楷体" w:hAnsi="楷体" w:eastAsia="楷体"/>
          <w:szCs w:val="22"/>
          <w:highlight w:val="none"/>
        </w:rPr>
        <w:fldChar w:fldCharType="separate"/>
      </w:r>
      <w:r>
        <w:t>①</w:t>
      </w:r>
      <w:r>
        <w:rPr>
          <w:rFonts w:hint="eastAsia" w:ascii="楷体" w:hAnsi="楷体" w:eastAsia="楷体"/>
          <w:szCs w:val="22"/>
          <w:highlight w:val="none"/>
        </w:rPr>
        <w:fldChar w:fldCharType="end"/>
      </w:r>
      <w:r>
        <w:rPr>
          <w:rFonts w:hint="eastAsia" w:ascii="楷体" w:hAnsi="楷体" w:eastAsia="楷体"/>
          <w:highlight w:val="none"/>
          <w:lang w:eastAsia="zh-CN"/>
        </w:rPr>
        <w:t>改为</w:t>
      </w:r>
      <w:r>
        <w:rPr>
          <w:rFonts w:ascii="楷体" w:hAnsi="楷体" w:eastAsia="楷体"/>
          <w:szCs w:val="22"/>
          <w:highlight w:val="none"/>
        </w:rPr>
        <w:t>：</w:t>
      </w:r>
    </w:p>
    <w:p>
      <w:pPr>
        <w:spacing w:after="156" w:afterLines="50"/>
        <w:ind w:firstLine="420" w:firstLineChars="200"/>
        <w:rPr>
          <w:rFonts w:hint="eastAsia" w:hAnsi="宋体"/>
          <w:highlight w:val="none"/>
          <w:lang w:eastAsia="zh-CN"/>
        </w:rPr>
      </w:pPr>
      <w:r>
        <w:rPr>
          <w:rFonts w:hint="eastAsia"/>
          <w:highlight w:val="none"/>
          <w:lang w:eastAsia="zh-CN"/>
        </w:rPr>
        <w:t>“</w:t>
      </w:r>
      <w:r>
        <w:rPr>
          <w:rFonts w:hint="eastAsia"/>
          <w:highlight w:val="none"/>
          <w:lang w:eastAsia="zh-CN"/>
        </w:rPr>
        <w:fldChar w:fldCharType="begin"/>
      </w:r>
      <w:r>
        <w:rPr>
          <w:rFonts w:hint="eastAsia"/>
          <w:highlight w:val="none"/>
          <w:lang w:eastAsia="zh-CN"/>
        </w:rPr>
        <w:instrText xml:space="preserve"> = 1 \* GB3 \* MERGEFORMAT </w:instrText>
      </w:r>
      <w:r>
        <w:rPr>
          <w:rFonts w:hint="eastAsia"/>
          <w:highlight w:val="none"/>
          <w:lang w:eastAsia="zh-CN"/>
        </w:rPr>
        <w:fldChar w:fldCharType="separate"/>
      </w:r>
      <w:r>
        <w:t>①</w:t>
      </w:r>
      <w:r>
        <w:rPr>
          <w:rFonts w:hint="eastAsia"/>
          <w:highlight w:val="none"/>
          <w:lang w:eastAsia="zh-CN"/>
        </w:rPr>
        <w:fldChar w:fldCharType="end"/>
      </w:r>
      <w:r>
        <w:rPr>
          <w:rFonts w:hint="eastAsia"/>
          <w:highlight w:val="none"/>
          <w:lang w:val="en-US" w:eastAsia="zh-CN"/>
        </w:rPr>
        <w:t xml:space="preserve"> </w:t>
      </w:r>
      <w:r>
        <w:rPr>
          <w:rFonts w:hint="eastAsia"/>
          <w:highlight w:val="none"/>
        </w:rPr>
        <w:t>与国际海</w:t>
      </w:r>
      <w:r>
        <w:rPr>
          <w:rFonts w:hint="eastAsia" w:ascii="Times New Roman" w:hAnsi="Times New Roman" w:cs="Times New Roman"/>
          <w:highlight w:val="none"/>
        </w:rPr>
        <w:t>事组织</w:t>
      </w:r>
      <w:r>
        <w:rPr>
          <w:rFonts w:hint="default" w:ascii="Times New Roman" w:hAnsi="Times New Roman" w:cs="Times New Roman"/>
          <w:strike/>
          <w:color w:val="FF0000"/>
          <w:highlight w:val="none"/>
        </w:rPr>
        <w:t>A.715(17)</w:t>
      </w:r>
      <w:r>
        <w:rPr>
          <w:rFonts w:hint="eastAsia" w:ascii="Times New Roman" w:hAnsi="Times New Roman" w:cs="Times New Roman"/>
          <w:color w:val="FF0000"/>
          <w:highlight w:val="none"/>
          <w:u w:val="single"/>
        </w:rPr>
        <w:t>A.714(17)</w:t>
      </w:r>
      <w:r>
        <w:rPr>
          <w:rFonts w:hint="eastAsia" w:ascii="Times New Roman" w:hAnsi="Times New Roman" w:cs="Times New Roman"/>
          <w:highlight w:val="none"/>
        </w:rPr>
        <w:t>决议通过并经修</w:t>
      </w:r>
      <w:r>
        <w:rPr>
          <w:rFonts w:hint="eastAsia"/>
          <w:highlight w:val="none"/>
        </w:rPr>
        <w:t>正的</w:t>
      </w:r>
      <w:r>
        <w:rPr>
          <w:rFonts w:hint="eastAsia" w:hAnsi="宋体"/>
          <w:highlight w:val="none"/>
        </w:rPr>
        <w:t>《</w:t>
      </w:r>
      <w:r>
        <w:rPr>
          <w:rFonts w:hint="eastAsia"/>
          <w:highlight w:val="none"/>
        </w:rPr>
        <w:t>货物堆装和系固安全操作规则</w:t>
      </w:r>
      <w:r>
        <w:rPr>
          <w:rFonts w:hint="eastAsia" w:hAnsi="宋体"/>
          <w:highlight w:val="none"/>
        </w:rPr>
        <w:t>》中的定义相同</w:t>
      </w:r>
      <w:r>
        <w:rPr>
          <w:rFonts w:hint="eastAsia" w:hAnsi="宋体"/>
          <w:highlight w:val="none"/>
          <w:lang w:eastAsia="zh-CN"/>
        </w:rPr>
        <w:t>。”</w:t>
      </w:r>
    </w:p>
    <w:p>
      <w:pPr>
        <w:spacing w:after="156" w:afterLines="50"/>
        <w:ind w:firstLine="420" w:firstLineChars="200"/>
        <w:rPr>
          <w:rFonts w:hint="eastAsia" w:ascii="楷体" w:hAnsi="楷体" w:eastAsia="楷体"/>
          <w:szCs w:val="22"/>
          <w:highlight w:val="none"/>
          <w:lang w:eastAsia="zh-CN"/>
        </w:rPr>
      </w:pPr>
    </w:p>
    <w:p>
      <w:pPr>
        <w:spacing w:after="156" w:afterLines="50"/>
        <w:ind w:firstLine="420" w:firstLineChars="200"/>
        <w:rPr>
          <w:rFonts w:ascii="楷体" w:hAnsi="楷体" w:eastAsia="楷体"/>
          <w:szCs w:val="22"/>
          <w:highlight w:val="none"/>
        </w:rPr>
      </w:pPr>
      <w:r>
        <w:rPr>
          <w:rFonts w:hint="eastAsia" w:ascii="楷体" w:hAnsi="楷体" w:eastAsia="楷体"/>
          <w:szCs w:val="22"/>
          <w:highlight w:val="none"/>
          <w:lang w:eastAsia="zh-CN"/>
        </w:rPr>
        <w:t>本条内原第</w:t>
      </w:r>
      <w:r>
        <w:rPr>
          <w:rFonts w:hint="eastAsia" w:ascii="楷体" w:hAnsi="楷体" w:eastAsia="楷体"/>
          <w:szCs w:val="22"/>
          <w:highlight w:val="none"/>
          <w:lang w:val="en-US" w:eastAsia="zh-CN"/>
        </w:rPr>
        <w:t>2个</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2 \* GB3 \* MERGEFORMAT </w:instrText>
      </w:r>
      <w:r>
        <w:rPr>
          <w:rFonts w:hint="eastAsia" w:ascii="楷体" w:hAnsi="楷体" w:eastAsia="楷体"/>
          <w:szCs w:val="22"/>
          <w:highlight w:val="none"/>
        </w:rPr>
        <w:fldChar w:fldCharType="separate"/>
      </w:r>
      <w:r>
        <w:t>②</w:t>
      </w:r>
      <w:r>
        <w:rPr>
          <w:rFonts w:hint="eastAsia" w:ascii="楷体" w:hAnsi="楷体" w:eastAsia="楷体"/>
          <w:szCs w:val="22"/>
          <w:highlight w:val="none"/>
        </w:rPr>
        <w:fldChar w:fldCharType="end"/>
      </w:r>
      <w:r>
        <w:rPr>
          <w:rFonts w:hint="eastAsia" w:ascii="楷体" w:hAnsi="楷体" w:eastAsia="楷体"/>
          <w:highlight w:val="none"/>
          <w:lang w:eastAsia="zh-CN"/>
        </w:rPr>
        <w:t>改为</w:t>
      </w:r>
      <w:r>
        <w:rPr>
          <w:rFonts w:ascii="楷体" w:hAnsi="楷体" w:eastAsia="楷体"/>
          <w:szCs w:val="22"/>
          <w:highlight w:val="none"/>
        </w:rPr>
        <w:t>：</w:t>
      </w:r>
    </w:p>
    <w:p>
      <w:pPr>
        <w:ind w:firstLine="420" w:firstLineChars="200"/>
        <w:rPr>
          <w:rFonts w:hint="eastAsia"/>
          <w:highlight w:val="none"/>
        </w:rPr>
      </w:pPr>
      <w:r>
        <w:rPr>
          <w:rFonts w:hint="eastAsia" w:ascii="Times New Roman" w:hAnsi="Times New Roman"/>
          <w:szCs w:val="22"/>
          <w:highlight w:val="none"/>
        </w:rPr>
        <w:t>“</w:t>
      </w:r>
      <w:r>
        <w:rPr>
          <w:rFonts w:hint="eastAsia" w:ascii="Times New Roman" w:hAnsi="Times New Roman"/>
          <w:szCs w:val="22"/>
          <w:highlight w:val="none"/>
        </w:rPr>
        <w:fldChar w:fldCharType="begin"/>
      </w:r>
      <w:r>
        <w:rPr>
          <w:rFonts w:hint="eastAsia" w:ascii="Times New Roman" w:hAnsi="Times New Roman"/>
          <w:szCs w:val="22"/>
          <w:highlight w:val="none"/>
        </w:rPr>
        <w:instrText xml:space="preserve"> = 2 \* GB3 \* MERGEFORMAT </w:instrText>
      </w:r>
      <w:r>
        <w:rPr>
          <w:rFonts w:hint="eastAsia" w:ascii="Times New Roman" w:hAnsi="Times New Roman"/>
          <w:szCs w:val="22"/>
          <w:highlight w:val="none"/>
        </w:rPr>
        <w:fldChar w:fldCharType="separate"/>
      </w:r>
      <w:r>
        <w:t>②</w:t>
      </w:r>
      <w:r>
        <w:rPr>
          <w:rFonts w:hint="eastAsia" w:ascii="Times New Roman" w:hAnsi="Times New Roman"/>
          <w:szCs w:val="22"/>
          <w:highlight w:val="none"/>
        </w:rPr>
        <w:fldChar w:fldCharType="end"/>
      </w:r>
      <w:r>
        <w:rPr>
          <w:highlight w:val="none"/>
        </w:rPr>
        <w:t>参见</w:t>
      </w:r>
      <w:r>
        <w:rPr>
          <w:rFonts w:hint="default" w:ascii="Times New Roman" w:hAnsi="Times New Roman" w:cs="Times New Roman"/>
          <w:strike/>
          <w:color w:val="FF0000"/>
          <w:highlight w:val="none"/>
        </w:rPr>
        <w:t>《货物系固手册编制指南》（MSC/Circ.745通函）</w:t>
      </w:r>
      <w:r>
        <w:rPr>
          <w:rFonts w:hint="eastAsia"/>
          <w:color w:val="FF0000"/>
          <w:highlight w:val="none"/>
          <w:u w:val="single"/>
        </w:rPr>
        <w:t>《经修订的货物系固手册编制指</w:t>
      </w:r>
      <w:r>
        <w:rPr>
          <w:rFonts w:hint="default" w:ascii="Times New Roman" w:hAnsi="Times New Roman" w:cs="Times New Roman"/>
          <w:color w:val="FF0000"/>
          <w:highlight w:val="none"/>
          <w:u w:val="single"/>
        </w:rPr>
        <w:t>南》（MSC/Circ.1353/Rev.2通函</w:t>
      </w:r>
      <w:r>
        <w:rPr>
          <w:rFonts w:hint="eastAsia"/>
          <w:color w:val="FF0000"/>
          <w:highlight w:val="none"/>
          <w:u w:val="single"/>
          <w:lang w:eastAsia="zh-CN"/>
        </w:rPr>
        <w:t>）</w:t>
      </w:r>
      <w:r>
        <w:rPr>
          <w:rFonts w:hint="eastAsia"/>
          <w:highlight w:val="none"/>
          <w:lang w:eastAsia="zh-CN"/>
        </w:rPr>
        <w:t>。”</w:t>
      </w:r>
    </w:p>
    <w:p>
      <w:pPr>
        <w:ind w:firstLine="420" w:firstLineChars="200"/>
        <w:rPr>
          <w:rFonts w:hint="default" w:ascii="楷体" w:hAnsi="楷体" w:eastAsia="楷体" w:cs="楷体"/>
          <w:snapToGrid w:val="0"/>
          <w:color w:val="040AFA"/>
          <w:kern w:val="0"/>
          <w:sz w:val="21"/>
          <w:szCs w:val="21"/>
          <w:lang w:val="en-US" w:eastAsia="zh-CN"/>
        </w:rPr>
      </w:pPr>
    </w:p>
    <w:p>
      <w:pPr>
        <w:rPr>
          <w:rFonts w:hint="eastAsia" w:ascii="华文楷体" w:hAnsi="华文楷体" w:eastAsia="华文楷体" w:cs="Times New Roman"/>
          <w:b w:val="0"/>
          <w:bCs w:val="0"/>
          <w:iCs/>
          <w:sz w:val="28"/>
          <w:szCs w:val="28"/>
          <w:lang w:val="en-US" w:eastAsia="zh-CN"/>
        </w:rPr>
      </w:pPr>
      <w:r>
        <w:rPr>
          <w:rFonts w:hint="eastAsia" w:ascii="华文楷体" w:hAnsi="华文楷体" w:eastAsia="华文楷体" w:cs="Times New Roman"/>
          <w:b w:val="0"/>
          <w:bCs w:val="0"/>
          <w:iCs/>
          <w:sz w:val="28"/>
          <w:szCs w:val="28"/>
          <w:lang w:val="en-US" w:eastAsia="zh-CN"/>
        </w:rPr>
        <w:br w:type="page"/>
      </w:r>
    </w:p>
    <w:p>
      <w:pPr>
        <w:keepNext w:val="0"/>
        <w:keepLines w:val="0"/>
        <w:pageBreakBefore w:val="0"/>
        <w:widowControl/>
        <w:kinsoku/>
        <w:wordWrap/>
        <w:overflowPunct/>
        <w:topLinePunct w:val="0"/>
        <w:autoSpaceDE/>
        <w:autoSpaceDN/>
        <w:bidi w:val="0"/>
        <w:adjustRightInd/>
        <w:snapToGrid/>
        <w:spacing w:before="0" w:after="0" w:line="240" w:lineRule="auto"/>
        <w:ind w:left="0"/>
        <w:jc w:val="center"/>
        <w:textAlignment w:val="auto"/>
        <w:outlineLvl w:val="9"/>
        <w:rPr>
          <w:rFonts w:hint="eastAsia" w:ascii="华文楷体" w:hAnsi="华文楷体" w:eastAsia="华文楷体" w:cs="Times New Roman"/>
          <w:b w:val="0"/>
          <w:bCs w:val="0"/>
          <w:iCs/>
          <w:sz w:val="28"/>
          <w:szCs w:val="28"/>
          <w:lang w:val="en-US" w:eastAsia="zh-CN"/>
        </w:rPr>
      </w:pPr>
    </w:p>
    <w:p>
      <w:pPr>
        <w:pStyle w:val="3"/>
        <w:keepNext w:val="0"/>
        <w:keepLines w:val="0"/>
        <w:pageBreakBefore w:val="0"/>
        <w:widowControl/>
        <w:kinsoku/>
        <w:wordWrap/>
        <w:overflowPunct/>
        <w:topLinePunct w:val="0"/>
        <w:autoSpaceDE/>
        <w:autoSpaceDN/>
        <w:bidi w:val="0"/>
        <w:adjustRightInd/>
        <w:snapToGrid/>
        <w:spacing w:before="0" w:after="0"/>
        <w:ind w:left="0"/>
        <w:jc w:val="center"/>
        <w:textAlignment w:val="auto"/>
        <w:outlineLvl w:val="1"/>
        <w:rPr>
          <w:rFonts w:hint="eastAsia" w:cstheme="minorBidi"/>
          <w:bCs w:val="0"/>
          <w:caps w:val="0"/>
          <w:kern w:val="2"/>
          <w:sz w:val="32"/>
          <w:highlight w:val="none"/>
          <w:lang w:val="zh-CN"/>
        </w:rPr>
      </w:pPr>
      <w:bookmarkStart w:id="90" w:name="_Toc7851"/>
      <w:r>
        <w:rPr>
          <w:rFonts w:hint="eastAsia" w:cstheme="minorBidi"/>
          <w:bCs w:val="0"/>
          <w:caps w:val="0"/>
          <w:kern w:val="2"/>
          <w:sz w:val="32"/>
          <w:highlight w:val="none"/>
          <w:lang w:val="en-US" w:eastAsia="zh-CN"/>
        </w:rPr>
        <w:t xml:space="preserve">附录  </w:t>
      </w:r>
      <w:r>
        <w:rPr>
          <w:rFonts w:hint="eastAsia" w:cstheme="minorBidi"/>
          <w:bCs w:val="0"/>
          <w:caps w:val="0"/>
          <w:kern w:val="2"/>
          <w:sz w:val="32"/>
          <w:highlight w:val="none"/>
          <w:lang w:val="zh-CN"/>
        </w:rPr>
        <w:t>国际船舶安全装运密封装辐射性核燃料、钚和强放射性废料规则（INF规则）</w:t>
      </w:r>
      <w:bookmarkEnd w:id="90"/>
    </w:p>
    <w:p>
      <w:pPr>
        <w:pStyle w:val="4"/>
        <w:keepNext w:val="0"/>
        <w:keepLines w:val="0"/>
        <w:pageBreakBefore w:val="0"/>
        <w:widowControl/>
        <w:kinsoku/>
        <w:wordWrap/>
        <w:overflowPunct/>
        <w:topLinePunct w:val="0"/>
        <w:autoSpaceDE/>
        <w:autoSpaceDN/>
        <w:bidi w:val="0"/>
        <w:adjustRightInd/>
        <w:snapToGrid/>
        <w:ind w:left="0"/>
        <w:jc w:val="center"/>
        <w:textAlignment w:val="auto"/>
        <w:outlineLvl w:val="2"/>
        <w:rPr>
          <w:rFonts w:hint="default" w:ascii="Times New Roman" w:hAnsi="Times New Roman" w:eastAsiaTheme="minorEastAsia" w:cstheme="minorBidi"/>
          <w:bCs w:val="0"/>
          <w:caps w:val="0"/>
          <w:kern w:val="0"/>
          <w:sz w:val="21"/>
          <w:szCs w:val="21"/>
          <w:highlight w:val="none"/>
          <w:lang w:val="en-US" w:eastAsia="zh-CN"/>
        </w:rPr>
      </w:pPr>
      <w:bookmarkStart w:id="91" w:name="_Toc22786"/>
      <w:r>
        <w:rPr>
          <w:rFonts w:hint="eastAsia" w:ascii="Times New Roman" w:hAnsi="Times New Roman" w:cstheme="minorBidi"/>
          <w:bCs w:val="0"/>
          <w:caps w:val="0"/>
          <w:kern w:val="0"/>
          <w:sz w:val="21"/>
          <w:szCs w:val="21"/>
          <w:highlight w:val="none"/>
          <w:lang w:val="en-US"/>
        </w:rPr>
        <w:t>第</w:t>
      </w:r>
      <w:r>
        <w:rPr>
          <w:rFonts w:hint="eastAsia" w:ascii="Times New Roman" w:hAnsi="Times New Roman" w:cstheme="minorBidi"/>
          <w:bCs w:val="0"/>
          <w:caps w:val="0"/>
          <w:kern w:val="0"/>
          <w:sz w:val="21"/>
          <w:szCs w:val="21"/>
          <w:highlight w:val="none"/>
          <w:lang w:val="en-US" w:eastAsia="zh-CN"/>
        </w:rPr>
        <w:t>6章</w:t>
      </w:r>
      <w:r>
        <w:rPr>
          <w:rFonts w:hint="eastAsia" w:ascii="Times New Roman" w:hAnsi="Times New Roman" w:cstheme="minorBidi"/>
          <w:bCs w:val="0"/>
          <w:caps w:val="0"/>
          <w:kern w:val="0"/>
          <w:sz w:val="21"/>
          <w:szCs w:val="21"/>
          <w:highlight w:val="none"/>
          <w:lang w:val="en-US"/>
        </w:rPr>
        <w:t>　</w:t>
      </w:r>
      <w:r>
        <w:rPr>
          <w:rFonts w:hint="eastAsia" w:ascii="Times New Roman" w:hAnsi="Times New Roman" w:cstheme="minorBidi"/>
          <w:bCs w:val="0"/>
          <w:caps w:val="0"/>
          <w:kern w:val="0"/>
          <w:sz w:val="21"/>
          <w:szCs w:val="21"/>
          <w:highlight w:val="none"/>
          <w:lang w:val="en-US" w:eastAsia="zh-CN"/>
        </w:rPr>
        <w:t>货物系固装置</w:t>
      </w:r>
      <w:bookmarkEnd w:id="91"/>
    </w:p>
    <w:p>
      <w:pPr>
        <w:spacing w:after="156" w:afterLines="50"/>
        <w:rPr>
          <w:rFonts w:hint="eastAsia" w:ascii="楷体" w:hAnsi="楷体" w:eastAsia="楷体"/>
          <w:szCs w:val="22"/>
          <w:highlight w:val="none"/>
          <w:lang w:eastAsia="zh-CN"/>
        </w:rPr>
      </w:pPr>
    </w:p>
    <w:p>
      <w:pPr>
        <w:spacing w:after="156" w:afterLines="50"/>
        <w:ind w:firstLine="420" w:firstLineChars="200"/>
        <w:rPr>
          <w:rFonts w:ascii="楷体" w:hAnsi="楷体" w:eastAsia="楷体"/>
          <w:szCs w:val="22"/>
          <w:highlight w:val="none"/>
        </w:rPr>
      </w:pPr>
      <w:r>
        <w:rPr>
          <w:rFonts w:hint="eastAsia" w:ascii="楷体" w:hAnsi="楷体" w:eastAsia="楷体"/>
          <w:szCs w:val="22"/>
          <w:highlight w:val="none"/>
          <w:lang w:val="en-US" w:eastAsia="zh-CN"/>
        </w:rPr>
        <w:t>原6.2中</w:t>
      </w:r>
      <w:r>
        <w:rPr>
          <w:rFonts w:hint="eastAsia" w:ascii="楷体" w:hAnsi="楷体" w:eastAsia="楷体"/>
          <w:szCs w:val="22"/>
          <w:highlight w:val="none"/>
        </w:rPr>
        <w:t>脚注</w:t>
      </w:r>
      <w:r>
        <w:rPr>
          <w:rFonts w:hint="eastAsia" w:ascii="楷体" w:hAnsi="楷体" w:eastAsia="楷体"/>
          <w:szCs w:val="22"/>
          <w:highlight w:val="none"/>
        </w:rPr>
        <w:fldChar w:fldCharType="begin"/>
      </w:r>
      <w:r>
        <w:rPr>
          <w:rFonts w:hint="eastAsia" w:ascii="楷体" w:hAnsi="楷体" w:eastAsia="楷体"/>
          <w:szCs w:val="22"/>
          <w:highlight w:val="none"/>
        </w:rPr>
        <w:instrText xml:space="preserve"> = 1 \* GB3 \* MERGEFORMAT </w:instrText>
      </w:r>
      <w:r>
        <w:rPr>
          <w:rFonts w:hint="eastAsia" w:ascii="楷体" w:hAnsi="楷体" w:eastAsia="楷体"/>
          <w:szCs w:val="22"/>
          <w:highlight w:val="none"/>
        </w:rPr>
        <w:fldChar w:fldCharType="separate"/>
      </w:r>
      <w:r>
        <w:t>①</w:t>
      </w:r>
      <w:r>
        <w:rPr>
          <w:rFonts w:hint="eastAsia" w:ascii="楷体" w:hAnsi="楷体" w:eastAsia="楷体"/>
          <w:szCs w:val="22"/>
          <w:highlight w:val="none"/>
        </w:rPr>
        <w:fldChar w:fldCharType="end"/>
      </w:r>
      <w:r>
        <w:rPr>
          <w:rFonts w:hint="eastAsia" w:ascii="楷体" w:hAnsi="楷体" w:eastAsia="楷体"/>
          <w:highlight w:val="none"/>
          <w:lang w:eastAsia="zh-CN"/>
        </w:rPr>
        <w:t>改为</w:t>
      </w:r>
      <w:r>
        <w:rPr>
          <w:rFonts w:ascii="楷体" w:hAnsi="楷体" w:eastAsia="楷体"/>
          <w:szCs w:val="22"/>
          <w:highlight w:val="none"/>
        </w:rPr>
        <w:t>：</w:t>
      </w:r>
    </w:p>
    <w:p>
      <w:pPr>
        <w:spacing w:after="156" w:afterLines="50"/>
        <w:ind w:firstLine="420" w:firstLineChars="200"/>
        <w:rPr>
          <w:rFonts w:hint="eastAsia"/>
          <w:highlight w:val="none"/>
          <w:lang w:val="zh-CN"/>
        </w:rPr>
      </w:pPr>
      <w:r>
        <w:rPr>
          <w:rFonts w:hint="eastAsia"/>
          <w:highlight w:val="none"/>
          <w:lang w:eastAsia="zh-CN"/>
        </w:rPr>
        <w:t>“</w:t>
      </w:r>
      <w:r>
        <w:rPr>
          <w:rFonts w:hint="eastAsia"/>
          <w:highlight w:val="none"/>
          <w:lang w:eastAsia="zh-CN"/>
        </w:rPr>
        <w:fldChar w:fldCharType="begin"/>
      </w:r>
      <w:r>
        <w:rPr>
          <w:rFonts w:hint="eastAsia"/>
          <w:highlight w:val="none"/>
          <w:lang w:eastAsia="zh-CN"/>
        </w:rPr>
        <w:instrText xml:space="preserve"> = 1 \* GB3 \* MERGEFORMAT </w:instrText>
      </w:r>
      <w:r>
        <w:rPr>
          <w:rFonts w:hint="eastAsia"/>
          <w:highlight w:val="none"/>
          <w:lang w:eastAsia="zh-CN"/>
        </w:rPr>
        <w:fldChar w:fldCharType="separate"/>
      </w:r>
      <w:r>
        <w:t>①</w:t>
      </w:r>
      <w:r>
        <w:rPr>
          <w:rFonts w:hint="eastAsia"/>
          <w:highlight w:val="none"/>
          <w:lang w:eastAsia="zh-CN"/>
        </w:rPr>
        <w:fldChar w:fldCharType="end"/>
      </w:r>
      <w:r>
        <w:rPr>
          <w:rFonts w:hint="eastAsia"/>
          <w:highlight w:val="none"/>
          <w:lang w:val="zh-CN"/>
        </w:rPr>
        <w:t xml:space="preserve"> 参见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.1  由国际海事组织以A.714（17）决议通过</w:t>
      </w:r>
      <w:r>
        <w:rPr>
          <w:rFonts w:hint="default" w:ascii="Times New Roman" w:hAnsi="Times New Roman" w:cs="Times New Roman"/>
          <w:color w:val="FF0000"/>
          <w:highlight w:val="none"/>
          <w:u w:val="single"/>
          <w:lang w:val="zh-CN"/>
        </w:rPr>
        <w:t>并经修正</w:t>
      </w:r>
      <w:r>
        <w:rPr>
          <w:rFonts w:hint="default" w:ascii="Times New Roman" w:hAnsi="Times New Roman" w:cs="Times New Roman"/>
          <w:highlight w:val="none"/>
          <w:lang w:val="zh-CN"/>
        </w:rPr>
        <w:t>的</w:t>
      </w:r>
      <w:r>
        <w:rPr>
          <w:rFonts w:hint="default" w:ascii="Times New Roman" w:hAnsi="Times New Roman" w:cs="Times New Roman"/>
          <w:highlight w:val="none"/>
        </w:rPr>
        <w:t>《货物堆装和系固安全操作规则》</w:t>
      </w:r>
      <w:r>
        <w:rPr>
          <w:rFonts w:hint="default" w:ascii="Times New Roman" w:hAnsi="Times New Roman" w:cs="Times New Roman"/>
          <w:highlight w:val="none"/>
          <w:lang w:val="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.2  由国际海事组织以</w:t>
      </w:r>
      <w:r>
        <w:rPr>
          <w:rFonts w:hint="eastAsia" w:ascii="Times New Roman" w:hAnsi="Times New Roman" w:cs="Times New Roman"/>
          <w:strike/>
          <w:dstrike w:val="0"/>
          <w:color w:val="FF0000"/>
          <w:highlight w:val="none"/>
          <w:lang w:val="en-US" w:eastAsia="zh-CN"/>
        </w:rPr>
        <w:t>A.581（14）</w:t>
      </w:r>
      <w:r>
        <w:rPr>
          <w:rFonts w:hint="default" w:ascii="Times New Roman" w:hAnsi="Times New Roman" w:cs="Times New Roman"/>
          <w:color w:val="FF0000"/>
          <w:highlight w:val="none"/>
          <w:u w:val="single"/>
          <w:lang w:val="en-US" w:eastAsia="zh-CN"/>
        </w:rPr>
        <w:t>MSC.479(102)</w:t>
      </w:r>
      <w:r>
        <w:rPr>
          <w:rFonts w:hint="default" w:ascii="Times New Roman" w:hAnsi="Times New Roman" w:cs="Times New Roman"/>
          <w:highlight w:val="none"/>
          <w:lang w:val="zh-CN"/>
        </w:rPr>
        <w:t>决议通过的《经修订的滚装船运输道路车辆用系固装置指南》； 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none"/>
        </w:rPr>
      </w:pPr>
      <w:r>
        <w:rPr>
          <w:rFonts w:hint="default" w:ascii="Times New Roman" w:hAnsi="Times New Roman" w:cs="Times New Roman"/>
          <w:highlight w:val="none"/>
          <w:lang w:val="zh-CN"/>
        </w:rPr>
        <w:t xml:space="preserve">.3  </w:t>
      </w:r>
      <w:r>
        <w:rPr>
          <w:rFonts w:hint="default" w:ascii="Times New Roman" w:hAnsi="Times New Roman" w:cs="Times New Roman"/>
          <w:strike/>
          <w:dstrike w:val="0"/>
          <w:color w:val="FF0000"/>
          <w:highlight w:val="none"/>
          <w:lang w:val="zh-CN"/>
        </w:rPr>
        <w:t>MSC</w:t>
      </w:r>
      <w:r>
        <w:rPr>
          <w:rFonts w:hint="eastAsia" w:ascii="Times New Roman" w:hAnsi="Times New Roman" w:cs="Times New Roman"/>
          <w:strike/>
          <w:dstrike w:val="0"/>
          <w:color w:val="FF0000"/>
          <w:highlight w:val="none"/>
          <w:lang w:val="en-US" w:eastAsia="zh-CN"/>
        </w:rPr>
        <w:t>/Circ.745“有关货物系固手册指导导则”</w:t>
      </w:r>
      <w:r>
        <w:rPr>
          <w:rFonts w:hint="default" w:ascii="Times New Roman" w:hAnsi="Times New Roman" w:cs="Times New Roman"/>
          <w:color w:val="FF0000"/>
          <w:highlight w:val="none"/>
          <w:u w:val="single"/>
          <w:lang w:val="zh-CN"/>
        </w:rPr>
        <w:t>MSC.1/Circ.1353/Rev.</w:t>
      </w:r>
      <w:r>
        <w:rPr>
          <w:rFonts w:hint="default" w:ascii="Times New Roman" w:hAnsi="Times New Roman" w:cs="Times New Roman"/>
          <w:color w:val="FF0000"/>
          <w:highlight w:val="none"/>
          <w:u w:val="single"/>
          <w:lang w:val="en-US" w:eastAsia="zh-CN"/>
        </w:rPr>
        <w:t>2</w:t>
      </w:r>
      <w:r>
        <w:rPr>
          <w:rFonts w:hint="default" w:ascii="Times New Roman" w:hAnsi="Times New Roman" w:cs="Times New Roman"/>
          <w:color w:val="FF0000"/>
          <w:highlight w:val="none"/>
          <w:u w:val="single"/>
          <w:lang w:val="zh-CN"/>
        </w:rPr>
        <w:t>《</w:t>
      </w:r>
      <w:r>
        <w:rPr>
          <w:rFonts w:hint="default" w:ascii="Times New Roman" w:hAnsi="Times New Roman" w:cs="Times New Roman"/>
          <w:color w:val="FF0000"/>
          <w:highlight w:val="none"/>
          <w:u w:val="single"/>
        </w:rPr>
        <w:t>货物系固手册编制指南</w:t>
      </w:r>
      <w:r>
        <w:rPr>
          <w:rFonts w:hint="default" w:ascii="Times New Roman" w:hAnsi="Times New Roman" w:cs="Times New Roman"/>
          <w:color w:val="FF0000"/>
          <w:highlight w:val="none"/>
          <w:u w:val="single"/>
          <w:lang w:val="zh-CN"/>
        </w:rPr>
        <w:t>》</w:t>
      </w:r>
      <w:r>
        <w:rPr>
          <w:rFonts w:hint="default" w:ascii="Times New Roman" w:hAnsi="Times New Roman" w:cs="Times New Roman"/>
          <w:highlight w:val="none"/>
          <w:lang w:val="zh-CN"/>
        </w:rPr>
        <w:t>。</w:t>
      </w:r>
      <w:r>
        <w:rPr>
          <w:rFonts w:hint="eastAsia" w:ascii="Times New Roman" w:hAnsi="Times New Roman" w:cs="Times New Roman"/>
          <w:highlight w:val="none"/>
          <w:lang w:val="zh-CN"/>
        </w:rPr>
        <w:t>”</w:t>
      </w:r>
    </w:p>
    <w:p>
      <w:pPr>
        <w:spacing w:after="156" w:afterLines="50"/>
        <w:ind w:firstLine="420" w:firstLineChars="200"/>
        <w:rPr>
          <w:rFonts w:hint="eastAsia"/>
          <w:sz w:val="21"/>
          <w:szCs w:val="21"/>
          <w:highlight w:val="none"/>
          <w:lang w:eastAsia="zh-CN"/>
        </w:rPr>
      </w:pPr>
    </w:p>
    <w:p>
      <w:pPr>
        <w:spacing w:after="156" w:afterLines="50"/>
        <w:ind w:firstLine="420" w:firstLineChars="200"/>
        <w:rPr>
          <w:rFonts w:hint="eastAsia"/>
          <w:highlight w:val="none"/>
          <w:lang w:eastAsia="zh-CN"/>
        </w:rPr>
      </w:pPr>
    </w:p>
    <w:p>
      <w:pPr>
        <w:spacing w:after="156" w:afterLines="50"/>
        <w:ind w:firstLine="420" w:firstLineChars="200"/>
        <w:rPr>
          <w:rFonts w:hint="eastAsia"/>
          <w:highlight w:val="none"/>
          <w:lang w:eastAsia="zh-CN"/>
        </w:rPr>
      </w:pPr>
    </w:p>
    <w:p>
      <w:pPr>
        <w:spacing w:after="156" w:afterLines="50"/>
        <w:ind w:firstLine="420" w:firstLineChars="200"/>
        <w:rPr>
          <w:rFonts w:hint="eastAsia"/>
          <w:highlight w:val="none"/>
          <w:lang w:eastAsia="zh-CN"/>
        </w:rPr>
      </w:pPr>
    </w:p>
    <w:p>
      <w:pPr>
        <w:rPr>
          <w:highlight w:val="none"/>
        </w:rPr>
      </w:pPr>
      <w:r>
        <w:rPr>
          <w:highlight w:val="none"/>
        </w:rPr>
        <w:br w:type="page"/>
      </w:r>
    </w:p>
    <w:p>
      <w:pPr>
        <w:pStyle w:val="2"/>
        <w:spacing w:after="120"/>
        <w:ind w:left="0"/>
        <w:jc w:val="center"/>
        <w:rPr>
          <w:b w:val="0"/>
          <w:bCs w:val="0"/>
          <w:sz w:val="32"/>
          <w:highlight w:val="none"/>
        </w:rPr>
      </w:pPr>
      <w:bookmarkStart w:id="92" w:name="_Toc31227"/>
      <w:r>
        <w:rPr>
          <w:rFonts w:cstheme="minorBidi"/>
          <w:bCs w:val="0"/>
          <w:caps w:val="0"/>
          <w:kern w:val="2"/>
          <w:sz w:val="32"/>
          <w:highlight w:val="none"/>
          <w:lang w:val="en-US"/>
        </w:rPr>
        <w:t>第15章　信号设备</w:t>
      </w:r>
      <w:bookmarkEnd w:id="92"/>
    </w:p>
    <w:p>
      <w:pPr>
        <w:pStyle w:val="3"/>
        <w:ind w:left="0"/>
        <w:jc w:val="center"/>
        <w:rPr>
          <w:rFonts w:ascii="Times New Roman" w:hAnsi="Times New Roman" w:cstheme="minorBidi"/>
          <w:bCs w:val="0"/>
          <w:caps w:val="0"/>
          <w:kern w:val="0"/>
          <w:sz w:val="21"/>
          <w:szCs w:val="21"/>
          <w:highlight w:val="none"/>
          <w:lang w:val="en-US"/>
        </w:rPr>
      </w:pPr>
      <w:bookmarkStart w:id="93" w:name="_Toc32064"/>
      <w:r>
        <w:rPr>
          <w:rFonts w:ascii="Times New Roman" w:hAnsi="Times New Roman" w:cstheme="minorBidi"/>
          <w:bCs w:val="0"/>
          <w:caps w:val="0"/>
          <w:kern w:val="0"/>
          <w:sz w:val="21"/>
          <w:szCs w:val="21"/>
          <w:highlight w:val="none"/>
          <w:lang w:val="en-US"/>
        </w:rPr>
        <w:t>1 通则</w:t>
      </w:r>
      <w:bookmarkEnd w:id="93"/>
    </w:p>
    <w:p>
      <w:pPr>
        <w:rPr>
          <w:b/>
          <w:highlight w:val="none"/>
        </w:rPr>
      </w:pPr>
    </w:p>
    <w:p>
      <w:pPr>
        <w:autoSpaceDE w:val="0"/>
        <w:autoSpaceDN w:val="0"/>
        <w:adjustRightInd w:val="0"/>
        <w:spacing w:line="360" w:lineRule="auto"/>
        <w:jc w:val="left"/>
        <w:rPr>
          <w:rFonts w:ascii="楷体_GB2312" w:hAnsi="Calibri" w:eastAsia="楷体_GB2312"/>
          <w:highlight w:val="none"/>
        </w:rPr>
      </w:pPr>
      <w:r>
        <w:rPr>
          <w:rFonts w:hint="eastAsia" w:ascii="楷体" w:hAnsi="楷体" w:eastAsia="楷体"/>
          <w:szCs w:val="22"/>
          <w:highlight w:val="none"/>
          <w:lang w:eastAsia="zh-CN"/>
        </w:rPr>
        <w:t>原</w:t>
      </w:r>
      <w:r>
        <w:rPr>
          <w:rFonts w:ascii="楷体_GB2312" w:hAnsi="Calibri" w:eastAsia="楷体_GB2312"/>
          <w:highlight w:val="none"/>
        </w:rPr>
        <w:t>1.1.</w:t>
      </w:r>
      <w:r>
        <w:rPr>
          <w:rFonts w:hint="eastAsia" w:ascii="楷体_GB2312" w:hAnsi="Calibri" w:eastAsia="楷体_GB2312"/>
          <w:highlight w:val="none"/>
          <w:lang w:val="en-US" w:eastAsia="zh-CN"/>
        </w:rPr>
        <w:t>2后新增1.1.3如下，后续段落编号“1.1.3”、“1.1.4”依次调整为“1.1.4”、“1.1.5”</w:t>
      </w:r>
      <w:r>
        <w:rPr>
          <w:rFonts w:hint="eastAsia" w:ascii="楷体_GB2312" w:hAnsi="Calibri" w:eastAsia="楷体_GB2312"/>
          <w:highlight w:val="none"/>
        </w:rPr>
        <w:t>。</w:t>
      </w:r>
    </w:p>
    <w:p>
      <w:pPr>
        <w:pStyle w:val="24"/>
        <w:ind w:firstLine="420" w:firstLineChars="200"/>
        <w:rPr>
          <w:rFonts w:hint="eastAsia" w:ascii="楷体_GB2312" w:hAnsi="Calibri" w:eastAsia="楷体_GB2312"/>
          <w:highlight w:val="none"/>
          <w:lang w:eastAsia="zh-CN"/>
        </w:rPr>
      </w:pPr>
      <w:r>
        <w:rPr>
          <w:rFonts w:hint="eastAsia" w:ascii="楷体_GB2312" w:hAnsi="Calibri" w:eastAsia="楷体_GB2312"/>
          <w:highlight w:val="none"/>
          <w:lang w:eastAsia="zh-CN"/>
        </w:rPr>
        <w:t>“</w:t>
      </w:r>
      <w:r>
        <w:rPr>
          <w:rFonts w:ascii="Times New Roman" w:hAnsi="Times New Roman" w:cs="Times New Roman"/>
          <w:color w:val="FF0000"/>
          <w:highlight w:val="none"/>
          <w:u w:val="single"/>
        </w:rPr>
        <w:t>1.1.3  除本章1.5条以外，对于不能完全遵守本章任何一条关于号灯的数量、位置、能见距离、弧度或号型以及声号设备的配置和特性的规定的船舶，应经本局确定其具有特殊的构造或用途，并符合本局为其制定和颁布的其他规定。</w:t>
      </w:r>
      <w:r>
        <w:rPr>
          <w:rFonts w:hint="eastAsia" w:ascii="楷体_GB2312" w:hAnsi="Calibri" w:eastAsia="楷体_GB2312"/>
          <w:highlight w:val="none"/>
          <w:lang w:eastAsia="zh-CN"/>
        </w:rPr>
        <w:t>”</w:t>
      </w:r>
    </w:p>
    <w:p>
      <w:pPr>
        <w:autoSpaceDE w:val="0"/>
        <w:autoSpaceDN w:val="0"/>
        <w:adjustRightInd w:val="0"/>
        <w:spacing w:line="360" w:lineRule="auto"/>
        <w:jc w:val="left"/>
        <w:rPr>
          <w:rFonts w:hint="eastAsia" w:ascii="宋体" w:hAnsi="宋体"/>
          <w:kern w:val="0"/>
          <w:highlight w:val="none"/>
        </w:rPr>
      </w:pPr>
    </w:p>
    <w:p>
      <w:pPr>
        <w:autoSpaceDE w:val="0"/>
        <w:autoSpaceDN w:val="0"/>
        <w:adjustRightInd w:val="0"/>
        <w:spacing w:line="360" w:lineRule="auto"/>
        <w:jc w:val="left"/>
        <w:rPr>
          <w:rFonts w:ascii="楷体_GB2312" w:hAnsi="Calibri" w:eastAsia="楷体_GB2312"/>
          <w:highlight w:val="none"/>
        </w:rPr>
      </w:pPr>
      <w:r>
        <w:rPr>
          <w:rFonts w:hint="eastAsia" w:ascii="宋体" w:hAnsi="宋体"/>
          <w:kern w:val="0"/>
          <w:highlight w:val="none"/>
        </w:rPr>
        <w:t xml:space="preserve"> </w:t>
      </w:r>
      <w:r>
        <w:rPr>
          <w:rFonts w:hint="eastAsia" w:ascii="楷体" w:hAnsi="楷体" w:eastAsia="楷体"/>
          <w:szCs w:val="22"/>
          <w:highlight w:val="none"/>
          <w:lang w:eastAsia="zh-CN"/>
        </w:rPr>
        <w:t>原</w:t>
      </w:r>
      <w:r>
        <w:rPr>
          <w:rFonts w:ascii="楷体_GB2312" w:hAnsi="Calibri" w:eastAsia="楷体_GB2312"/>
          <w:highlight w:val="none"/>
        </w:rPr>
        <w:t>1.</w:t>
      </w:r>
      <w:r>
        <w:rPr>
          <w:rFonts w:hint="eastAsia" w:ascii="楷体_GB2312" w:hAnsi="Calibri" w:eastAsia="楷体_GB2312"/>
          <w:highlight w:val="none"/>
          <w:lang w:val="en-US" w:eastAsia="zh-CN"/>
        </w:rPr>
        <w:t>4</w:t>
      </w:r>
      <w:r>
        <w:rPr>
          <w:rFonts w:ascii="楷体_GB2312" w:hAnsi="Calibri" w:eastAsia="楷体_GB2312"/>
          <w:highlight w:val="none"/>
        </w:rPr>
        <w:t>.</w:t>
      </w:r>
      <w:r>
        <w:rPr>
          <w:rFonts w:hint="eastAsia" w:ascii="楷体_GB2312" w:hAnsi="Calibri" w:eastAsia="楷体_GB2312"/>
          <w:highlight w:val="none"/>
          <w:lang w:val="en-US" w:eastAsia="zh-CN"/>
        </w:rPr>
        <w:t>6</w:t>
      </w:r>
      <w:r>
        <w:rPr>
          <w:rFonts w:hint="eastAsia" w:ascii="楷体_GB2312" w:hAnsi="Calibri" w:eastAsia="楷体_GB2312"/>
          <w:highlight w:val="none"/>
          <w:lang w:eastAsia="zh-CN"/>
        </w:rPr>
        <w:t>后</w:t>
      </w:r>
      <w:r>
        <w:rPr>
          <w:rFonts w:hint="eastAsia" w:ascii="楷体_GB2312" w:hAnsi="Calibri" w:eastAsia="楷体_GB2312"/>
          <w:highlight w:val="none"/>
          <w:lang w:val="en-US" w:eastAsia="zh-CN"/>
        </w:rPr>
        <w:t>新增1.5</w:t>
      </w:r>
      <w:r>
        <w:rPr>
          <w:rFonts w:hint="eastAsia" w:ascii="楷体_GB2312" w:hAnsi="Calibri" w:eastAsia="楷体_GB2312"/>
          <w:highlight w:val="none"/>
          <w:lang w:eastAsia="zh-CN"/>
        </w:rPr>
        <w:t>如下</w:t>
      </w:r>
      <w:r>
        <w:rPr>
          <w:rFonts w:hint="eastAsia" w:ascii="楷体_GB2312" w:hAnsi="Calibri" w:eastAsia="楷体_GB2312"/>
          <w:highlight w:val="none"/>
          <w:lang w:val="en-US" w:eastAsia="zh-CN"/>
        </w:rPr>
        <w:t>：</w:t>
      </w:r>
    </w:p>
    <w:p>
      <w:pPr>
        <w:pStyle w:val="24"/>
        <w:ind w:firstLine="315" w:firstLineChars="150"/>
        <w:rPr>
          <w:rFonts w:ascii="Times New Roman" w:hAnsi="Times New Roman" w:cs="Times New Roman"/>
          <w:color w:val="FF0000"/>
          <w:highlight w:val="none"/>
          <w:u w:val="single"/>
        </w:rPr>
      </w:pPr>
      <w:r>
        <w:rPr>
          <w:rFonts w:hint="eastAsia" w:ascii="Times New Roman" w:hAnsi="Times New Roman" w:cs="Times New Roman"/>
          <w:highlight w:val="none"/>
          <w:lang w:eastAsia="zh-CN"/>
        </w:rPr>
        <w:t>“</w:t>
      </w:r>
      <w:r>
        <w:rPr>
          <w:rFonts w:ascii="Times New Roman" w:hAnsi="Times New Roman" w:cs="Times New Roman"/>
          <w:color w:val="FF0000"/>
          <w:highlight w:val="none"/>
          <w:u w:val="single"/>
        </w:rPr>
        <w:t>1.5  特定构造和用途船舶的特别规定</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1.5.1  本条所述的特定构造和用途船舶，是指同时具有如下三个特点的船舶：</w:t>
      </w:r>
    </w:p>
    <w:p>
      <w:pPr>
        <w:pStyle w:val="24"/>
        <w:numPr>
          <w:ilvl w:val="0"/>
          <w:numId w:val="2"/>
        </w:numPr>
        <w:ind w:left="525" w:leftChars="200" w:hanging="105" w:hangingChars="50"/>
        <w:rPr>
          <w:rFonts w:ascii="Times New Roman" w:hAnsi="Times New Roman" w:cs="Times New Roman"/>
          <w:color w:val="auto"/>
          <w:highlight w:val="none"/>
          <w:u w:val="none"/>
        </w:rPr>
      </w:pPr>
      <w:r>
        <w:rPr>
          <w:rFonts w:ascii="Times New Roman" w:hAnsi="Times New Roman" w:cs="Times New Roman"/>
          <w:color w:val="auto"/>
          <w:highlight w:val="none"/>
          <w:u w:val="none"/>
        </w:rPr>
        <w:t>最上层连续甲板上的上层建筑（包括甲板室）的最上层后舱壁位于船舶中部之前；</w:t>
      </w:r>
    </w:p>
    <w:p>
      <w:pPr>
        <w:pStyle w:val="24"/>
        <w:numPr>
          <w:ilvl w:val="0"/>
          <w:numId w:val="2"/>
        </w:numPr>
        <w:ind w:left="5" w:firstLine="413" w:firstLineChars="197"/>
        <w:rPr>
          <w:rFonts w:ascii="Times New Roman" w:hAnsi="Times New Roman" w:cs="Times New Roman"/>
          <w:color w:val="auto"/>
          <w:highlight w:val="none"/>
          <w:u w:val="none"/>
        </w:rPr>
      </w:pPr>
      <w:r>
        <w:rPr>
          <w:rFonts w:ascii="Times New Roman" w:hAnsi="Times New Roman" w:cs="Times New Roman"/>
          <w:color w:val="auto"/>
          <w:highlight w:val="none"/>
          <w:u w:val="none"/>
        </w:rPr>
        <w:t>从本条（1）中所述的最上层后舱壁一直到船舶尾端或接近尾端，是开敞甲板（包括阶梯开敞甲板）；</w:t>
      </w:r>
    </w:p>
    <w:p>
      <w:pPr>
        <w:pStyle w:val="24"/>
        <w:numPr>
          <w:ilvl w:val="0"/>
          <w:numId w:val="2"/>
        </w:numPr>
        <w:ind w:left="5" w:firstLine="413" w:firstLineChars="197"/>
        <w:rPr>
          <w:rFonts w:ascii="Times New Roman" w:hAnsi="Times New Roman" w:cs="Times New Roman"/>
          <w:color w:val="auto"/>
          <w:highlight w:val="none"/>
          <w:u w:val="none"/>
        </w:rPr>
      </w:pPr>
      <w:r>
        <w:rPr>
          <w:rFonts w:ascii="Times New Roman" w:hAnsi="Times New Roman" w:cs="Times New Roman"/>
          <w:color w:val="auto"/>
          <w:highlight w:val="none"/>
          <w:u w:val="none"/>
        </w:rPr>
        <w:t>在本条（2）中所述的开敞甲板上，用于运输较大型物体（如大型结构件、平台用设备或物资），或者，预留或安放有船舶预定用途或功能的设备或装置，从而导致后桅灯的布置不能满足本章的规定。</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1.5.2  对于具有1.5.1特定构造和用途的半潜船、近海供应船、特殊用途船、科学考察船、拖船、工程船以及具有类似构造的其他船舶（包括移动平台），在采取1.5.3中规定的等效措施的前提下，下列号灯应按如下要求实施：</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（1）船长50m及以上的上述船舶应在船舶首尾中心线上装设前、后桅灯，两者的水平间距应尽实际可能远距离布置。</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（2）若船舶尾部安装有拖带设备或其他船舶用途或功能的设备，从而导致尾部无法安装尾灯和/或后锚灯，则此尾灯和/或后锚灯应尽实际可能在尾部装设。</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1.5.3  上述1.5.2所要求的等效措施应同时满足下列要求：</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（1）至少安装两盏探照灯，每盏探照灯的功率应照亮船舶尾部，尽可能显示船舶后部轮廓，以便被其他船舶观察到；</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（2）每盏探照灯至少应能在驾驶室控制，并接入航行灯控制器且满足本章1.4的适用要求；</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（3）探照灯应持有船用产品证书，其性能要求应满足ISO 17884或GB/T 24954；</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（4）若探照灯不能显示船舶后部轮廓，还应在船舶适当位置（如尾部或两侧舷墙等）增设照明措施，以便尽可能显示船舶后部轮廓而被其他船舶观察到；</w:t>
      </w:r>
    </w:p>
    <w:p>
      <w:pPr>
        <w:pStyle w:val="24"/>
        <w:ind w:firstLine="315" w:firstLineChars="150"/>
        <w:rPr>
          <w:rFonts w:ascii="Times New Roman" w:hAnsi="Times New Roman" w:cs="Times New Roman"/>
          <w:color w:val="auto"/>
          <w:highlight w:val="none"/>
          <w:u w:val="none"/>
        </w:rPr>
      </w:pPr>
      <w:r>
        <w:rPr>
          <w:rFonts w:ascii="Times New Roman" w:hAnsi="Times New Roman" w:cs="Times New Roman"/>
          <w:color w:val="auto"/>
          <w:highlight w:val="none"/>
          <w:u w:val="none"/>
        </w:rPr>
        <w:t>（5）桅灯开启时应开启探照灯和照明设施（如已增设），并在船舶驾驶台适当位置应有该操作的提示；</w:t>
      </w:r>
    </w:p>
    <w:p>
      <w:pPr>
        <w:autoSpaceDE w:val="0"/>
        <w:autoSpaceDN w:val="0"/>
        <w:adjustRightInd w:val="0"/>
        <w:spacing w:line="360" w:lineRule="auto"/>
        <w:ind w:firstLine="210" w:firstLineChars="100"/>
        <w:jc w:val="left"/>
        <w:rPr>
          <w:rFonts w:hint="eastAsia" w:ascii="Times New Roman" w:hAnsi="Times New Roman" w:cs="Times New Roman"/>
          <w:color w:val="auto"/>
          <w:highlight w:val="none"/>
          <w:u w:val="none"/>
          <w:lang w:eastAsia="zh-CN"/>
        </w:rPr>
      </w:pPr>
      <w:r>
        <w:rPr>
          <w:rFonts w:ascii="Times New Roman" w:hAnsi="Times New Roman" w:cs="Times New Roman"/>
          <w:color w:val="auto"/>
          <w:highlight w:val="none"/>
          <w:u w:val="none"/>
        </w:rPr>
        <w:t>（6）探照灯和照明措施（如增设）的安装应不能影响按照本章的规定装设的其他号灯的显示。</w:t>
      </w:r>
      <w:r>
        <w:rPr>
          <w:rFonts w:hint="eastAsia" w:ascii="Times New Roman" w:hAnsi="Times New Roman" w:cs="Times New Roman"/>
          <w:color w:val="auto"/>
          <w:highlight w:val="none"/>
          <w:u w:val="none"/>
          <w:lang w:eastAsia="zh-CN"/>
        </w:rPr>
        <w:t>”</w:t>
      </w:r>
    </w:p>
    <w:p>
      <w:pPr>
        <w:autoSpaceDE w:val="0"/>
        <w:autoSpaceDN w:val="0"/>
        <w:adjustRightInd w:val="0"/>
        <w:spacing w:line="360" w:lineRule="auto"/>
        <w:ind w:firstLine="210" w:firstLineChars="100"/>
        <w:jc w:val="left"/>
        <w:rPr>
          <w:rFonts w:hint="eastAsia" w:ascii="Times New Roman" w:hAnsi="Times New Roman" w:cs="Times New Roman"/>
          <w:highlight w:val="none"/>
          <w:lang w:eastAsia="zh-CN"/>
        </w:rPr>
      </w:pPr>
    </w:p>
    <w:sectPr>
      <w:footerReference r:id="rId7" w:type="default"/>
      <w:footnotePr>
        <w:numFmt w:val="decimalEnclosedCircleChinese"/>
        <w:numRestart w:val="eachPage"/>
      </w:footnote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D Y 1+ ZMFDMB">
    <w:altName w:val="宋体"/>
    <w:panose1 w:val="00000000000000000000"/>
    <w:charset w:val="86"/>
    <w:family w:val="swiss"/>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b#ce#cc#e5">
    <w:altName w:val="宋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right="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rStyle w:val="56"/>
                            </w:rPr>
                          </w:pPr>
                          <w:r>
                            <w:rPr>
                              <w:rStyle w:val="56"/>
                            </w:rPr>
                            <w:fldChar w:fldCharType="begin"/>
                          </w:r>
                          <w:r>
                            <w:rPr>
                              <w:rStyle w:val="56"/>
                            </w:rPr>
                            <w:instrText xml:space="preserve">PAGE  </w:instrText>
                          </w:r>
                          <w:r>
                            <w:rPr>
                              <w:rStyle w:val="56"/>
                            </w:rPr>
                            <w:fldChar w:fldCharType="separate"/>
                          </w:r>
                          <w:r>
                            <w:rPr>
                              <w:rStyle w:val="56"/>
                            </w:rPr>
                            <w:t>4</w:t>
                          </w:r>
                          <w:r>
                            <w:rPr>
                              <w:rStyle w:val="56"/>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0"/>
                      <w:rPr>
                        <w:rStyle w:val="56"/>
                      </w:rPr>
                    </w:pPr>
                    <w:r>
                      <w:rPr>
                        <w:rStyle w:val="56"/>
                      </w:rPr>
                      <w:fldChar w:fldCharType="begin"/>
                    </w:r>
                    <w:r>
                      <w:rPr>
                        <w:rStyle w:val="56"/>
                      </w:rPr>
                      <w:instrText xml:space="preserve">PAGE  </w:instrText>
                    </w:r>
                    <w:r>
                      <w:rPr>
                        <w:rStyle w:val="56"/>
                      </w:rPr>
                      <w:fldChar w:fldCharType="separate"/>
                    </w:r>
                    <w:r>
                      <w:rPr>
                        <w:rStyle w:val="56"/>
                      </w:rPr>
                      <w:t>4</w:t>
                    </w:r>
                    <w:r>
                      <w:rPr>
                        <w:rStyle w:val="56"/>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56"/>
      </w:rPr>
    </w:pPr>
    <w:r>
      <w:rPr>
        <w:rStyle w:val="56"/>
      </w:rPr>
      <w:fldChar w:fldCharType="begin"/>
    </w:r>
    <w:r>
      <w:rPr>
        <w:rStyle w:val="56"/>
      </w:rPr>
      <w:instrText xml:space="preserve">PAGE  </w:instrText>
    </w:r>
    <w:r>
      <w:rPr>
        <w:rStyle w:val="56"/>
      </w:rPr>
      <w:fldChar w:fldCharType="end"/>
    </w:r>
  </w:p>
  <w:p>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rStyle w:val="56"/>
                            </w:rPr>
                          </w:pPr>
                          <w:r>
                            <w:rPr>
                              <w:rStyle w:val="56"/>
                            </w:rPr>
                            <w:fldChar w:fldCharType="begin"/>
                          </w:r>
                          <w:r>
                            <w:rPr>
                              <w:rStyle w:val="56"/>
                            </w:rPr>
                            <w:instrText xml:space="preserve">PAGE  </w:instrText>
                          </w:r>
                          <w:r>
                            <w:rPr>
                              <w:rStyle w:val="56"/>
                            </w:rPr>
                            <w:fldChar w:fldCharType="separate"/>
                          </w:r>
                          <w:r>
                            <w:rPr>
                              <w:rStyle w:val="56"/>
                            </w:rPr>
                            <w:t>4</w:t>
                          </w:r>
                          <w:r>
                            <w:rPr>
                              <w:rStyle w:val="56"/>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0"/>
                      <w:rPr>
                        <w:rStyle w:val="56"/>
                      </w:rPr>
                    </w:pPr>
                    <w:r>
                      <w:rPr>
                        <w:rStyle w:val="56"/>
                      </w:rPr>
                      <w:fldChar w:fldCharType="begin"/>
                    </w:r>
                    <w:r>
                      <w:rPr>
                        <w:rStyle w:val="56"/>
                      </w:rPr>
                      <w:instrText xml:space="preserve">PAGE  </w:instrText>
                    </w:r>
                    <w:r>
                      <w:rPr>
                        <w:rStyle w:val="56"/>
                      </w:rPr>
                      <w:fldChar w:fldCharType="separate"/>
                    </w:r>
                    <w:r>
                      <w:rPr>
                        <w:rStyle w:val="56"/>
                      </w:rPr>
                      <w:t>4</w:t>
                    </w:r>
                    <w:r>
                      <w:rPr>
                        <w:rStyle w:val="5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39"/>
        <w:ind w:left="180" w:hanging="180" w:hangingChars="100"/>
        <w:jc w:val="both"/>
        <w:rPr>
          <w:rFonts w:ascii="Times New Roman" w:hAnsi="Times New Roman"/>
          <w:color w:val="auto"/>
          <w:u w:val="none"/>
        </w:rPr>
      </w:pPr>
      <w:r>
        <w:rPr>
          <w:rStyle w:val="60"/>
          <w:rFonts w:ascii="Times New Roman" w:hAnsi="Times New Roman"/>
          <w:color w:val="auto"/>
          <w:u w:val="none"/>
          <w:vertAlign w:val="baseline"/>
        </w:rPr>
        <w:footnoteRef/>
      </w:r>
      <w:r>
        <w:rPr>
          <w:rFonts w:ascii="Times New Roman" w:hAnsi="Times New Roman"/>
          <w:color w:val="auto"/>
          <w:kern w:val="0"/>
          <w:u w:val="none"/>
        </w:rPr>
        <w:t xml:space="preserve"> 对于</w:t>
      </w:r>
      <w:r>
        <w:rPr>
          <w:rFonts w:ascii="Times New Roman" w:hAnsi="Times New Roman"/>
          <w:color w:val="auto"/>
          <w:szCs w:val="24"/>
          <w:u w:val="none"/>
        </w:rPr>
        <w:t>2007年1月1日或以后、但在2024年1月1日以前建造的船舶，</w:t>
      </w:r>
      <w:r>
        <w:rPr>
          <w:rFonts w:ascii="Times New Roman" w:hAnsi="Times New Roman"/>
          <w:color w:val="auto"/>
          <w:kern w:val="0"/>
          <w:u w:val="none"/>
        </w:rPr>
        <w:t>参见《船上拖带和系泊设备导则》（MSC.1/Circ.1175通函），对于</w:t>
      </w:r>
      <w:r>
        <w:rPr>
          <w:rFonts w:ascii="Times New Roman" w:hAnsi="Times New Roman"/>
          <w:color w:val="auto"/>
          <w:szCs w:val="24"/>
          <w:u w:val="none"/>
        </w:rPr>
        <w:t>2024年1月1日或以后建造的船舶，</w:t>
      </w:r>
      <w:r>
        <w:rPr>
          <w:rFonts w:ascii="Times New Roman" w:hAnsi="Times New Roman"/>
          <w:color w:val="auto"/>
          <w:kern w:val="0"/>
          <w:u w:val="none"/>
        </w:rPr>
        <w:t>参见《船上拖带和系泊设备导则》（MSC.1/Circ.1175/Rev.1通函）。</w:t>
      </w:r>
    </w:p>
  </w:footnote>
  <w:footnote w:id="1">
    <w:p>
      <w:pPr>
        <w:pStyle w:val="39"/>
        <w:rPr>
          <w:rFonts w:ascii="Times New Roman" w:hAnsi="Times New Roman"/>
          <w:color w:val="auto"/>
          <w:u w:val="none"/>
        </w:rPr>
      </w:pPr>
      <w:r>
        <w:rPr>
          <w:rStyle w:val="60"/>
          <w:rFonts w:ascii="Times New Roman" w:hAnsi="Times New Roman"/>
          <w:color w:val="auto"/>
          <w:u w:val="none"/>
          <w:vertAlign w:val="baseline"/>
        </w:rPr>
        <w:footnoteRef/>
      </w:r>
      <w:r>
        <w:rPr>
          <w:rFonts w:ascii="Times New Roman" w:hAnsi="Times New Roman"/>
          <w:color w:val="auto"/>
          <w:kern w:val="0"/>
          <w:u w:val="none"/>
        </w:rPr>
        <w:t xml:space="preserve"> 参见《</w:t>
      </w:r>
      <w:r>
        <w:rPr>
          <w:rFonts w:ascii="Times New Roman" w:hAnsi="Times New Roman"/>
          <w:color w:val="auto"/>
          <w:u w:val="none"/>
        </w:rPr>
        <w:t>安全系泊的系泊布置设计和合适的系泊设备和附件选取指南》</w:t>
      </w:r>
      <w:r>
        <w:rPr>
          <w:rFonts w:ascii="Times New Roman" w:hAnsi="Times New Roman"/>
          <w:color w:val="auto"/>
          <w:kern w:val="0"/>
          <w:u w:val="none"/>
        </w:rPr>
        <w:t>（MSC.1/Circ.1619通函）。</w:t>
      </w:r>
    </w:p>
  </w:footnote>
  <w:footnote w:id="2">
    <w:p>
      <w:pPr>
        <w:pStyle w:val="39"/>
        <w:ind w:left="270" w:hanging="270" w:hangingChars="150"/>
        <w:rPr>
          <w:color w:val="auto"/>
          <w:u w:val="none"/>
        </w:rPr>
      </w:pPr>
      <w:r>
        <w:rPr>
          <w:rStyle w:val="60"/>
          <w:rFonts w:ascii="Times New Roman" w:hAnsi="Times New Roman"/>
          <w:color w:val="auto"/>
          <w:u w:val="none"/>
          <w:vertAlign w:val="baseline"/>
        </w:rPr>
        <w:footnoteRef/>
      </w:r>
      <w:r>
        <w:rPr>
          <w:rFonts w:ascii="Times New Roman" w:hAnsi="Times New Roman"/>
          <w:color w:val="auto"/>
          <w:kern w:val="0"/>
          <w:u w:val="none"/>
        </w:rPr>
        <w:t xml:space="preserve"> 参见《</w:t>
      </w:r>
      <w:r>
        <w:rPr>
          <w:rFonts w:ascii="Times New Roman" w:hAnsi="Times New Roman"/>
          <w:color w:val="auto"/>
          <w:u w:val="none"/>
        </w:rPr>
        <w:t>安全系泊的系泊布置设计和合适的系泊设备和附件选取指南》</w:t>
      </w:r>
      <w:r>
        <w:rPr>
          <w:rFonts w:ascii="Times New Roman" w:hAnsi="Times New Roman"/>
          <w:color w:val="auto"/>
          <w:kern w:val="0"/>
          <w:u w:val="none"/>
        </w:rPr>
        <w:t>（MSC.1/Circ.1619通函）中的拖带和系泊布置图。</w:t>
      </w:r>
    </w:p>
  </w:footnote>
  <w:footnote w:id="3">
    <w:p>
      <w:pPr>
        <w:pStyle w:val="39"/>
        <w:rPr>
          <w:rFonts w:ascii="Times New Roman" w:hAnsi="Times New Roman"/>
          <w:color w:val="auto"/>
          <w:u w:val="none"/>
        </w:rPr>
      </w:pPr>
      <w:r>
        <w:rPr>
          <w:rStyle w:val="60"/>
          <w:rFonts w:ascii="Times New Roman" w:hAnsi="Times New Roman"/>
          <w:color w:val="auto"/>
          <w:u w:val="none"/>
          <w:vertAlign w:val="baseline"/>
        </w:rPr>
        <w:footnoteRef/>
      </w:r>
      <w:r>
        <w:rPr>
          <w:rFonts w:ascii="Times New Roman" w:hAnsi="Times New Roman"/>
          <w:color w:val="auto"/>
          <w:kern w:val="0"/>
          <w:u w:val="none"/>
        </w:rPr>
        <w:t xml:space="preserve"> 参见《</w:t>
      </w:r>
      <w:r>
        <w:rPr>
          <w:rFonts w:ascii="Times New Roman" w:hAnsi="Times New Roman"/>
          <w:color w:val="auto"/>
          <w:szCs w:val="24"/>
          <w:u w:val="none"/>
        </w:rPr>
        <w:t>系泊设备（包括系泊索）的检查和维护</w:t>
      </w:r>
      <w:r>
        <w:rPr>
          <w:rFonts w:ascii="Times New Roman" w:hAnsi="Times New Roman"/>
          <w:color w:val="auto"/>
          <w:u w:val="none"/>
        </w:rPr>
        <w:t>指南》</w:t>
      </w:r>
      <w:r>
        <w:rPr>
          <w:rFonts w:ascii="Times New Roman" w:hAnsi="Times New Roman"/>
          <w:color w:val="auto"/>
          <w:kern w:val="0"/>
          <w:u w:val="none"/>
        </w:rPr>
        <w:t>（MSC.1/Circ.1620通函）。</w:t>
      </w:r>
    </w:p>
  </w:footnote>
  <w:footnote w:id="4">
    <w:p>
      <w:pPr>
        <w:pStyle w:val="39"/>
        <w:rPr>
          <w:rFonts w:ascii="Times New Roman" w:hAnsi="Times New Roman"/>
        </w:rPr>
      </w:pPr>
      <w:r>
        <w:rPr>
          <w:rStyle w:val="60"/>
          <w:rFonts w:ascii="Times New Roman" w:hAnsi="Times New Roman"/>
          <w:vertAlign w:val="baseline"/>
        </w:rPr>
        <w:footnoteRef/>
      </w:r>
      <w:r>
        <w:rPr>
          <w:rFonts w:hint="eastAsia" w:ascii="Times New Roman" w:hAnsi="Times New Roman"/>
          <w:lang w:val="en-US" w:eastAsia="zh-CN"/>
        </w:rPr>
        <w:t xml:space="preserve"> </w:t>
      </w:r>
      <w:r>
        <w:rPr>
          <w:rFonts w:ascii="Times New Roman" w:hAnsi="Times New Roman"/>
        </w:rPr>
        <w:t>参见</w:t>
      </w:r>
      <w:r>
        <w:rPr>
          <w:rFonts w:hint="eastAsia" w:ascii="Times New Roman" w:hAnsi="Times New Roman"/>
        </w:rPr>
        <w:t>国际海事组织</w:t>
      </w:r>
      <w:r>
        <w:rPr>
          <w:rFonts w:ascii="Times New Roman" w:hAnsi="Times New Roman"/>
        </w:rPr>
        <w:t>《</w:t>
      </w:r>
      <w:r>
        <w:rPr>
          <w:rFonts w:ascii="Times New Roman" w:hAnsi="Times New Roman"/>
          <w:kern w:val="0"/>
        </w:rPr>
        <w:t>船上拖带和系泊设备导则</w:t>
      </w:r>
      <w:r>
        <w:rPr>
          <w:rFonts w:ascii="Times New Roman" w:hAnsi="Times New Roman"/>
        </w:rPr>
        <w:t>》</w:t>
      </w:r>
      <w:r>
        <w:rPr>
          <w:rFonts w:hint="eastAsia" w:ascii="Times New Roman" w:hAnsi="Times New Roman"/>
        </w:rPr>
        <w:t>（</w:t>
      </w:r>
      <w:r>
        <w:rPr>
          <w:rFonts w:ascii="Times New Roman" w:hAnsi="Times New Roman"/>
        </w:rPr>
        <w:t>MSC/Circ.11</w:t>
      </w:r>
      <w:r>
        <w:rPr>
          <w:rFonts w:hint="eastAsia" w:ascii="Times New Roman" w:hAnsi="Times New Roman"/>
        </w:rPr>
        <w:t>7</w:t>
      </w:r>
      <w:r>
        <w:rPr>
          <w:rFonts w:ascii="Times New Roman" w:hAnsi="Times New Roman"/>
        </w:rPr>
        <w:t>5通函</w:t>
      </w:r>
      <w:r>
        <w:rPr>
          <w:rFonts w:hint="eastAsia" w:ascii="Times New Roman" w:hAnsi="Times New Roman"/>
        </w:rPr>
        <w:t>）</w:t>
      </w:r>
      <w:r>
        <w:rPr>
          <w:rFonts w:ascii="Times New Roman" w:hAnsi="Times New Roman"/>
        </w:rPr>
        <w:t>。</w:t>
      </w:r>
    </w:p>
  </w:footnote>
  <w:footnote w:id="5">
    <w:p>
      <w:pPr>
        <w:pStyle w:val="39"/>
        <w:rPr>
          <w:rFonts w:ascii="Times New Roman" w:hAnsi="Times New Roman"/>
        </w:rPr>
      </w:pPr>
      <w:r>
        <w:rPr>
          <w:rStyle w:val="60"/>
          <w:rFonts w:ascii="Times New Roman" w:hAnsi="Times New Roman"/>
          <w:vertAlign w:val="baseline"/>
        </w:rPr>
        <w:footnoteRef/>
      </w:r>
      <w:r>
        <w:rPr>
          <w:rFonts w:ascii="Times New Roman" w:hAnsi="Times New Roman"/>
        </w:rPr>
        <w:t xml:space="preserve"> 参见《客船发生火灾或进水事故后系统性能评估的暂行解释性说明》（MSC.1/Circ.1369</w:t>
      </w:r>
      <w:r>
        <w:rPr>
          <w:rFonts w:ascii="Times New Roman" w:hAnsi="Times New Roman"/>
          <w:color w:val="FF0000"/>
          <w:u w:val="single"/>
        </w:rPr>
        <w:t>和</w:t>
      </w:r>
      <w:r>
        <w:rPr>
          <w:rFonts w:hint="eastAsia" w:ascii="Times New Roman" w:hAnsi="Times New Roman"/>
          <w:color w:val="FF0000"/>
          <w:u w:val="single"/>
        </w:rPr>
        <w:t>MSC.1/Circ.1369/Add.1</w:t>
      </w:r>
      <w:r>
        <w:rPr>
          <w:rFonts w:ascii="Times New Roman" w:hAnsi="Times New Roman"/>
        </w:rPr>
        <w:t>通函）。</w:t>
      </w:r>
    </w:p>
  </w:footnote>
  <w:footnote w:id="6">
    <w:p>
      <w:pPr>
        <w:pStyle w:val="39"/>
        <w:ind w:left="180" w:hanging="180" w:hangingChars="100"/>
        <w:jc w:val="both"/>
        <w:rPr>
          <w:rFonts w:ascii="Times New Roman" w:hAnsi="Times New Roman"/>
        </w:rPr>
      </w:pPr>
      <w:r>
        <w:rPr>
          <w:rStyle w:val="60"/>
          <w:rFonts w:ascii="Times New Roman" w:hAnsi="Times New Roman"/>
          <w:vertAlign w:val="baseline"/>
        </w:rPr>
        <w:footnoteRef/>
      </w:r>
      <w:r>
        <w:rPr>
          <w:rFonts w:ascii="Times New Roman" w:hAnsi="Times New Roman"/>
        </w:rPr>
        <w:t xml:space="preserve"> 对于2014年1月1日或以后、但在2016年5月13日以前建造的船舶，</w:t>
      </w:r>
      <w:r>
        <w:rPr>
          <w:rFonts w:ascii="Times New Roman" w:hAnsi="Times New Roman"/>
          <w:kern w:val="0"/>
        </w:rPr>
        <w:t>参见《向客船船长提供关于依靠自身动力或拖航安全返港的操作资料指南》（MSC.1/Circ.1400通函）；或对于2016年5月13日或以后建造的船舶，参见《经修订的向客船船长提供关于安全返港的操作资料指南》（MSC.1/Circ.1532/rev.1通函）；或参见《向船长提供关于2014年1月1日以前建造客船进水后的操作资料指南》（MSC.1/Circ.1589通函）。</w:t>
      </w:r>
    </w:p>
  </w:footnote>
  <w:footnote w:id="7">
    <w:p>
      <w:pPr>
        <w:autoSpaceDE w:val="0"/>
        <w:autoSpaceDN w:val="0"/>
        <w:adjustRightInd w:val="0"/>
        <w:ind w:firstLine="325" w:firstLineChars="155"/>
        <w:rPr>
          <w:rFonts w:ascii="Times New Roman" w:hAnsi="Times New Roman"/>
          <w:color w:val="auto"/>
          <w:kern w:val="0"/>
          <w:sz w:val="18"/>
          <w:szCs w:val="18"/>
          <w:highlight w:val="none"/>
          <w:u w:val="none"/>
        </w:rPr>
      </w:pPr>
      <w:r>
        <w:rPr>
          <w:rStyle w:val="60"/>
          <w:rFonts w:ascii="Times New Roman" w:hAnsi="Times New Roman"/>
          <w:color w:val="auto"/>
          <w:highlight w:val="none"/>
          <w:u w:val="none"/>
          <w:vertAlign w:val="baseline"/>
        </w:rPr>
        <w:footnoteRef/>
      </w:r>
      <w:r>
        <w:rPr>
          <w:rFonts w:ascii="Times New Roman" w:hAnsi="Times New Roman"/>
          <w:color w:val="auto"/>
          <w:highlight w:val="none"/>
          <w:u w:val="none"/>
        </w:rPr>
        <w:t xml:space="preserve"> </w:t>
      </w:r>
      <w:r>
        <w:rPr>
          <w:rFonts w:ascii="Times New Roman" w:hAnsi="Times New Roman"/>
          <w:color w:val="auto"/>
          <w:kern w:val="0"/>
          <w:sz w:val="18"/>
          <w:szCs w:val="18"/>
          <w:highlight w:val="none"/>
          <w:u w:val="none"/>
        </w:rPr>
        <w:t>参见下列IEC 60529: 2003出版物：</w:t>
      </w:r>
    </w:p>
    <w:p>
      <w:pPr>
        <w:autoSpaceDE w:val="0"/>
        <w:autoSpaceDN w:val="0"/>
        <w:adjustRightInd w:val="0"/>
        <w:ind w:firstLine="639" w:firstLineChars="355"/>
        <w:rPr>
          <w:rFonts w:ascii="Times New Roman" w:hAnsi="Times New Roman"/>
          <w:color w:val="auto"/>
          <w:kern w:val="0"/>
          <w:sz w:val="18"/>
          <w:szCs w:val="18"/>
          <w:highlight w:val="none"/>
          <w:u w:val="none"/>
        </w:rPr>
      </w:pPr>
      <w:r>
        <w:rPr>
          <w:rFonts w:ascii="Times New Roman" w:hAnsi="Times New Roman"/>
          <w:color w:val="auto"/>
          <w:kern w:val="0"/>
          <w:sz w:val="18"/>
          <w:szCs w:val="18"/>
          <w:highlight w:val="none"/>
          <w:u w:val="none"/>
        </w:rPr>
        <w:t>.1 达到IPX 7保护标准的电机、相关电路及控制部件；</w:t>
      </w:r>
    </w:p>
    <w:p>
      <w:pPr>
        <w:autoSpaceDE w:val="0"/>
        <w:autoSpaceDN w:val="0"/>
        <w:adjustRightInd w:val="0"/>
        <w:ind w:firstLine="639" w:firstLineChars="355"/>
        <w:rPr>
          <w:rFonts w:ascii="Times New Roman" w:hAnsi="Times New Roman"/>
          <w:color w:val="auto"/>
          <w:kern w:val="0"/>
          <w:sz w:val="18"/>
          <w:szCs w:val="18"/>
          <w:highlight w:val="none"/>
          <w:u w:val="none"/>
        </w:rPr>
      </w:pPr>
      <w:r>
        <w:rPr>
          <w:rFonts w:ascii="Times New Roman" w:hAnsi="Times New Roman"/>
          <w:color w:val="auto"/>
          <w:kern w:val="0"/>
          <w:sz w:val="18"/>
          <w:szCs w:val="18"/>
          <w:highlight w:val="none"/>
          <w:u w:val="none"/>
        </w:rPr>
        <w:t>.2 达到IPX 8保护标准的门位置指示器及相关电路部件；和</w:t>
      </w:r>
    </w:p>
    <w:p>
      <w:pPr>
        <w:autoSpaceDE w:val="0"/>
        <w:autoSpaceDN w:val="0"/>
        <w:adjustRightInd w:val="0"/>
        <w:ind w:firstLine="639" w:firstLineChars="355"/>
        <w:rPr>
          <w:rFonts w:ascii="Times New Roman" w:hAnsi="Times New Roman"/>
          <w:color w:val="auto"/>
          <w:kern w:val="0"/>
          <w:sz w:val="18"/>
          <w:szCs w:val="18"/>
          <w:highlight w:val="none"/>
          <w:u w:val="none"/>
        </w:rPr>
      </w:pPr>
      <w:r>
        <w:rPr>
          <w:rFonts w:ascii="Times New Roman" w:hAnsi="Times New Roman"/>
          <w:color w:val="auto"/>
          <w:kern w:val="0"/>
          <w:sz w:val="18"/>
          <w:szCs w:val="18"/>
          <w:highlight w:val="none"/>
          <w:u w:val="none"/>
        </w:rPr>
        <w:t>.3 达到IPX 6保护标准的门移动报警信号器。</w:t>
      </w:r>
    </w:p>
    <w:p>
      <w:pPr>
        <w:autoSpaceDE w:val="0"/>
        <w:autoSpaceDN w:val="0"/>
        <w:adjustRightInd w:val="0"/>
        <w:ind w:left="278" w:leftChars="132" w:hanging="1"/>
        <w:rPr>
          <w:rFonts w:ascii="Times New Roman" w:hAnsi="Times New Roman"/>
          <w:color w:val="auto"/>
          <w:szCs w:val="21"/>
          <w:highlight w:val="none"/>
          <w:u w:val="none"/>
        </w:rPr>
      </w:pPr>
      <w:r>
        <w:rPr>
          <w:rFonts w:ascii="Times New Roman" w:hAnsi="Times New Roman"/>
          <w:color w:val="auto"/>
          <w:kern w:val="0"/>
          <w:sz w:val="18"/>
          <w:szCs w:val="18"/>
          <w:highlight w:val="none"/>
          <w:u w:val="none"/>
        </w:rPr>
        <w:t>如主管机关确信能达到同等保护程度，可对电器部件的外壳作其他布置。IPX 8水压应基于该部件位置处浸水36 h过程中可能出现的压力。</w:t>
      </w:r>
    </w:p>
    <w:p>
      <w:pPr>
        <w:pStyle w:val="39"/>
        <w:rPr>
          <w:rFonts w:hint="eastAsia"/>
        </w:rPr>
      </w:pPr>
    </w:p>
  </w:footnote>
  <w:footnote w:id="8">
    <w:p>
      <w:pPr>
        <w:autoSpaceDE w:val="0"/>
        <w:autoSpaceDN w:val="0"/>
        <w:adjustRightInd w:val="0"/>
        <w:ind w:left="265" w:hanging="264" w:hangingChars="147"/>
      </w:pPr>
      <w:r>
        <w:rPr>
          <w:rStyle w:val="60"/>
          <w:sz w:val="18"/>
          <w:szCs w:val="18"/>
        </w:rPr>
        <w:footnoteRef/>
      </w:r>
      <w:r>
        <w:rPr>
          <w:rFonts w:hint="eastAsia" w:ascii="Times New Roman" w:hAnsi="Times New Roman" w:eastAsiaTheme="minorEastAsia" w:cstheme="minorBidi"/>
          <w:kern w:val="2"/>
          <w:sz w:val="18"/>
          <w:szCs w:val="18"/>
          <w:lang w:val="en-US" w:eastAsia="zh-CN" w:bidi="ar-SA"/>
        </w:rPr>
        <w:t xml:space="preserve"> </w:t>
      </w:r>
      <w:r>
        <w:rPr>
          <w:rFonts w:ascii="Times New Roman" w:hAnsi="Times New Roman" w:eastAsiaTheme="minorEastAsia" w:cstheme="minorBidi"/>
          <w:kern w:val="2"/>
          <w:sz w:val="18"/>
          <w:szCs w:val="18"/>
          <w:lang w:val="en-US" w:eastAsia="zh-CN" w:bidi="ar-SA"/>
        </w:rPr>
        <w:t>参见可能经修正的MSC/Circ.541通函《经修正的1974 SOLAS公约第II-1/8条和第20.1条应用于客船舱壁甲板以上浸水边界完整性的导则》</w:t>
      </w:r>
      <w:r>
        <w:rPr>
          <w:rFonts w:hint="eastAsia"/>
          <w:kern w:val="0"/>
          <w:sz w:val="18"/>
          <w:szCs w:val="18"/>
        </w:rPr>
        <w:t>。</w:t>
      </w:r>
    </w:p>
  </w:footnote>
  <w:footnote w:id="9">
    <w:p>
      <w:pPr>
        <w:pStyle w:val="39"/>
        <w:ind w:left="180" w:hanging="180" w:hangingChars="100"/>
        <w:jc w:val="both"/>
        <w:rPr>
          <w:rFonts w:ascii="Times New Roman" w:hAnsi="Times New Roman"/>
        </w:rPr>
      </w:pPr>
      <w:r>
        <w:rPr>
          <w:rStyle w:val="60"/>
          <w:rFonts w:ascii="Times New Roman" w:hAnsi="Times New Roman"/>
          <w:vertAlign w:val="baseline"/>
        </w:rPr>
        <w:footnoteRef/>
      </w:r>
      <w:r>
        <w:rPr>
          <w:rFonts w:ascii="Times New Roman" w:hAnsi="Times New Roman"/>
        </w:rPr>
        <w:t xml:space="preserve"> 参见可能经修正的MSC/Circ.541通函《经修正的1974 SOLAS公约第II-1/8条和第20.1条应用于客船舱壁甲板以上浸水边界完整性的导则》。</w:t>
      </w:r>
    </w:p>
  </w:footnote>
  <w:footnote w:id="10">
    <w:p>
      <w:pPr>
        <w:pStyle w:val="39"/>
        <w:ind w:left="270" w:hanging="270" w:hangingChars="150"/>
        <w:rPr>
          <w:rFonts w:ascii="Times New Roman" w:hAnsi="Times New Roman"/>
        </w:rPr>
      </w:pPr>
      <w:r>
        <w:rPr>
          <w:rStyle w:val="60"/>
          <w:rFonts w:ascii="Times New Roman" w:hAnsi="Times New Roman"/>
          <w:vertAlign w:val="baseline"/>
        </w:rPr>
        <w:footnoteRef/>
      </w:r>
      <w:r>
        <w:rPr>
          <w:rFonts w:ascii="Times New Roman" w:hAnsi="Times New Roman"/>
          <w:kern w:val="0"/>
        </w:rPr>
        <w:t xml:space="preserve"> </w:t>
      </w:r>
      <w:r>
        <w:rPr>
          <w:rFonts w:ascii="Times New Roman" w:hAnsi="Times New Roman"/>
          <w:color w:val="FF0000"/>
          <w:kern w:val="0"/>
          <w:highlight w:val="none"/>
          <w:u w:val="single"/>
        </w:rPr>
        <w:t>参见经MSC.1/Circ.1570通函修正的《向船长提供破损控制图和资料指南》(MSC.1/Circ.1245通函)和《液货船破损稳性要求验证指南》(MSC.1/Circ.1461通函)。</w:t>
      </w:r>
    </w:p>
  </w:footnote>
  <w:footnote w:id="11">
    <w:p>
      <w:pPr>
        <w:pStyle w:val="39"/>
        <w:rPr>
          <w:rFonts w:ascii="Times New Roman" w:hAnsi="Times New Roman"/>
        </w:rPr>
      </w:pPr>
      <w:r>
        <w:rPr>
          <w:rStyle w:val="60"/>
          <w:rFonts w:ascii="Times New Roman" w:hAnsi="Times New Roman"/>
          <w:vertAlign w:val="baseline"/>
        </w:rPr>
        <w:footnoteRef/>
      </w:r>
      <w:r>
        <w:rPr>
          <w:rFonts w:ascii="Times New Roman" w:hAnsi="Times New Roman"/>
        </w:rPr>
        <w:t xml:space="preserve"> 参见《经修订的在航行期间可开启的客船水密门导则》（MSC.1/Circ.1564通函）。</w:t>
      </w:r>
    </w:p>
  </w:footnote>
  <w:footnote w:id="12">
    <w:p>
      <w:pPr>
        <w:pStyle w:val="39"/>
        <w:rPr>
          <w:rFonts w:ascii="Times New Roman" w:hAnsi="Times New Roman"/>
        </w:rPr>
      </w:pPr>
      <w:r>
        <w:rPr>
          <w:rStyle w:val="60"/>
          <w:rFonts w:ascii="Times New Roman" w:hAnsi="Times New Roman"/>
          <w:vertAlign w:val="baseline"/>
        </w:rPr>
        <w:footnoteRef/>
      </w:r>
      <w:r>
        <w:rPr>
          <w:rFonts w:ascii="Times New Roman" w:hAnsi="Times New Roman"/>
        </w:rPr>
        <w:t xml:space="preserve"> 参见《经修订的在航行期间可开启的客船水密门导则》（MSC.1/Circ.1564通函）。</w:t>
      </w:r>
    </w:p>
  </w:footnote>
  <w:footnote w:id="13">
    <w:p>
      <w:pPr>
        <w:pStyle w:val="39"/>
        <w:jc w:val="both"/>
        <w:rPr>
          <w:rFonts w:hint="default" w:ascii="Times New Roman" w:hAnsi="Times New Roman" w:cs="Times New Roman"/>
        </w:rPr>
      </w:pPr>
      <w:r>
        <w:rPr>
          <w:rStyle w:val="60"/>
          <w:rFonts w:hint="default" w:ascii="Times New Roman" w:hAnsi="Times New Roman" w:cs="Times New Roman"/>
          <w:vertAlign w:val="baseline"/>
        </w:rPr>
        <w:footnoteRef/>
      </w:r>
      <w:r>
        <w:rPr>
          <w:rFonts w:hint="default" w:ascii="Times New Roman" w:hAnsi="Times New Roman" w:cs="Times New Roman"/>
        </w:rPr>
        <w:t xml:space="preserve"> 参见海上安全委员会MSC.188(79</w:t>
      </w:r>
      <w:r>
        <w:rPr>
          <w:rFonts w:hint="eastAsia" w:ascii="Times New Roman" w:hAnsi="Times New Roman" w:cs="Times New Roman"/>
          <w:lang w:eastAsia="zh-CN"/>
        </w:rPr>
        <w:t>）</w:t>
      </w:r>
      <w:r>
        <w:rPr>
          <w:rFonts w:hint="default" w:ascii="Times New Roman" w:hAnsi="Times New Roman" w:cs="Times New Roman"/>
        </w:rPr>
        <w:t>决议通过的《散货船和除散货船以外的单舱货船水位探测器性能标准》。</w:t>
      </w:r>
      <w:r>
        <w:rPr>
          <w:rFonts w:hint="eastAsia" w:ascii="Times New Roman" w:hAnsi="Times New Roman" w:cs="Times New Roman"/>
          <w:color w:val="FF0000"/>
          <w:highlight w:val="none"/>
          <w:u w:val="single"/>
          <w:lang w:val="en-US" w:eastAsia="zh-CN"/>
        </w:rPr>
        <w:t>对2024年1月1日安装的水位探测器，</w:t>
      </w:r>
      <w:r>
        <w:rPr>
          <w:rFonts w:hint="default" w:ascii="Times New Roman" w:hAnsi="Times New Roman" w:cs="Times New Roman"/>
          <w:color w:val="FF0000"/>
          <w:highlight w:val="none"/>
          <w:u w:val="single"/>
          <w:lang w:val="en-US" w:eastAsia="zh-CN"/>
        </w:rPr>
        <w:t>参见MSC.188(79)/Rev.1决议通过的《安装在适用SOLAS第II-1/25、第II-1/25-1和第</w:t>
      </w:r>
      <w:r>
        <w:rPr>
          <w:rFonts w:hint="default" w:ascii="Times New Roman" w:hAnsi="Times New Roman" w:cs="Times New Roman"/>
          <w:color w:val="FF0000"/>
          <w:highlight w:val="none"/>
          <w:u w:val="single"/>
          <w:lang w:val="en-US" w:eastAsia="zh-CN"/>
        </w:rPr>
        <w:fldChar w:fldCharType="begin"/>
      </w:r>
      <w:r>
        <w:rPr>
          <w:rFonts w:hint="default" w:ascii="Times New Roman" w:hAnsi="Times New Roman" w:cs="Times New Roman"/>
          <w:color w:val="FF0000"/>
          <w:highlight w:val="none"/>
          <w:u w:val="single"/>
          <w:lang w:val="en-US" w:eastAsia="zh-CN"/>
        </w:rPr>
        <w:instrText xml:space="preserve"> = 12 \* ROMAN \* MERGEFORMAT </w:instrText>
      </w:r>
      <w:r>
        <w:rPr>
          <w:rFonts w:hint="default" w:ascii="Times New Roman" w:hAnsi="Times New Roman" w:cs="Times New Roman"/>
          <w:color w:val="FF0000"/>
          <w:highlight w:val="none"/>
          <w:u w:val="single"/>
          <w:lang w:val="en-US" w:eastAsia="zh-CN"/>
        </w:rPr>
        <w:fldChar w:fldCharType="separate"/>
      </w:r>
      <w:r>
        <w:rPr>
          <w:rFonts w:hint="default" w:ascii="Times New Roman" w:hAnsi="Times New Roman" w:cs="Times New Roman"/>
          <w:color w:val="FF0000"/>
          <w:highlight w:val="none"/>
          <w:u w:val="single"/>
          <w:lang w:val="en-US" w:eastAsia="zh-CN"/>
        </w:rPr>
        <w:t>XII</w:t>
      </w:r>
      <w:r>
        <w:rPr>
          <w:rFonts w:hint="default" w:ascii="Times New Roman" w:hAnsi="Times New Roman" w:cs="Times New Roman"/>
          <w:color w:val="FF0000"/>
          <w:highlight w:val="none"/>
          <w:u w:val="single"/>
          <w:lang w:val="en-US" w:eastAsia="zh-CN"/>
        </w:rPr>
        <w:fldChar w:fldCharType="end"/>
      </w:r>
      <w:r>
        <w:rPr>
          <w:rFonts w:hint="default" w:ascii="Times New Roman" w:hAnsi="Times New Roman" w:cs="Times New Roman"/>
          <w:color w:val="FF0000"/>
          <w:highlight w:val="none"/>
          <w:u w:val="single"/>
          <w:lang w:val="en-US" w:eastAsia="zh-CN"/>
        </w:rPr>
        <w:t>/12的船舶上水位探测器性能标准》</w:t>
      </w:r>
      <w:r>
        <w:rPr>
          <w:rFonts w:hint="default" w:ascii="Times New Roman" w:hAnsi="Times New Roman" w:cs="Times New Roman"/>
        </w:rPr>
        <w:t>。</w:t>
      </w:r>
    </w:p>
  </w:footnote>
  <w:footnote w:id="14">
    <w:p>
      <w:pPr>
        <w:pStyle w:val="39"/>
        <w:jc w:val="both"/>
        <w:rPr>
          <w:rFonts w:hint="default" w:ascii="Times New Roman" w:hAnsi="Times New Roman" w:cs="Times New Roman"/>
        </w:rPr>
      </w:pPr>
      <w:r>
        <w:rPr>
          <w:rStyle w:val="60"/>
          <w:rFonts w:hint="default" w:ascii="Times New Roman" w:hAnsi="Times New Roman" w:cs="Times New Roman"/>
          <w:vertAlign w:val="baseline"/>
        </w:rPr>
        <w:footnoteRef/>
      </w:r>
      <w:r>
        <w:rPr>
          <w:rFonts w:hint="default" w:ascii="Times New Roman" w:hAnsi="Times New Roman" w:cs="Times New Roman"/>
        </w:rPr>
        <w:t xml:space="preserve"> 参见海上安全委员会MSC.188(79</w:t>
      </w:r>
      <w:r>
        <w:rPr>
          <w:rFonts w:hint="eastAsia" w:ascii="Times New Roman" w:hAnsi="Times New Roman" w:cs="Times New Roman"/>
          <w:lang w:eastAsia="zh-CN"/>
        </w:rPr>
        <w:t>）</w:t>
      </w:r>
      <w:r>
        <w:rPr>
          <w:rFonts w:hint="default" w:ascii="Times New Roman" w:hAnsi="Times New Roman" w:cs="Times New Roman"/>
        </w:rPr>
        <w:t>决议通过的《散货船和除散货船以外的单舱货船水位探测器性能标准》。</w:t>
      </w:r>
      <w:r>
        <w:rPr>
          <w:rFonts w:hint="eastAsia" w:ascii="Times New Roman" w:hAnsi="Times New Roman" w:cs="Times New Roman"/>
          <w:color w:val="FF0000"/>
          <w:highlight w:val="none"/>
          <w:u w:val="single"/>
          <w:lang w:val="en-US" w:eastAsia="zh-CN"/>
        </w:rPr>
        <w:t>对2024年1月1日安装的水位探测器，</w:t>
      </w:r>
      <w:r>
        <w:rPr>
          <w:rFonts w:hint="default" w:ascii="Times New Roman" w:hAnsi="Times New Roman" w:cs="Times New Roman"/>
          <w:color w:val="FF0000"/>
          <w:highlight w:val="none"/>
          <w:u w:val="single"/>
          <w:lang w:val="en-US" w:eastAsia="zh-CN"/>
        </w:rPr>
        <w:t>参见MSC.188(79)/Rev.1决议通过的《安装在适用SOLAS第II-1/25、第II-1/25-1和第</w:t>
      </w:r>
      <w:r>
        <w:rPr>
          <w:rFonts w:hint="default" w:ascii="Times New Roman" w:hAnsi="Times New Roman" w:cs="Times New Roman"/>
          <w:color w:val="FF0000"/>
          <w:highlight w:val="none"/>
          <w:u w:val="single"/>
          <w:lang w:val="en-US" w:eastAsia="zh-CN"/>
        </w:rPr>
        <w:fldChar w:fldCharType="begin"/>
      </w:r>
      <w:r>
        <w:rPr>
          <w:rFonts w:hint="default" w:ascii="Times New Roman" w:hAnsi="Times New Roman" w:cs="Times New Roman"/>
          <w:color w:val="FF0000"/>
          <w:highlight w:val="none"/>
          <w:u w:val="single"/>
          <w:lang w:val="en-US" w:eastAsia="zh-CN"/>
        </w:rPr>
        <w:instrText xml:space="preserve"> = 12 \* ROMAN \* MERGEFORMAT </w:instrText>
      </w:r>
      <w:r>
        <w:rPr>
          <w:rFonts w:hint="default" w:ascii="Times New Roman" w:hAnsi="Times New Roman" w:cs="Times New Roman"/>
          <w:color w:val="FF0000"/>
          <w:highlight w:val="none"/>
          <w:u w:val="single"/>
          <w:lang w:val="en-US" w:eastAsia="zh-CN"/>
        </w:rPr>
        <w:fldChar w:fldCharType="separate"/>
      </w:r>
      <w:r>
        <w:rPr>
          <w:rFonts w:hint="default" w:ascii="Times New Roman" w:hAnsi="Times New Roman" w:cs="Times New Roman"/>
          <w:color w:val="FF0000"/>
          <w:highlight w:val="none"/>
          <w:u w:val="single"/>
          <w:lang w:val="en-US" w:eastAsia="zh-CN"/>
        </w:rPr>
        <w:t>XII</w:t>
      </w:r>
      <w:r>
        <w:rPr>
          <w:rFonts w:hint="default" w:ascii="Times New Roman" w:hAnsi="Times New Roman" w:cs="Times New Roman"/>
          <w:color w:val="FF0000"/>
          <w:highlight w:val="none"/>
          <w:u w:val="single"/>
          <w:lang w:val="en-US" w:eastAsia="zh-CN"/>
        </w:rPr>
        <w:fldChar w:fldCharType="end"/>
      </w:r>
      <w:r>
        <w:rPr>
          <w:rFonts w:hint="default" w:ascii="Times New Roman" w:hAnsi="Times New Roman" w:cs="Times New Roman"/>
          <w:color w:val="FF0000"/>
          <w:highlight w:val="none"/>
          <w:u w:val="single"/>
          <w:lang w:val="en-US" w:eastAsia="zh-CN"/>
        </w:rPr>
        <w:t>/12的船舶上水位探测器性能标准》</w:t>
      </w:r>
      <w:r>
        <w:rPr>
          <w:rFonts w:hint="default" w:ascii="Times New Roman" w:hAnsi="Times New Roman" w:cs="Times New Roman"/>
        </w:rPr>
        <w:t>。</w:t>
      </w:r>
    </w:p>
  </w:footnote>
  <w:footnote w:id="15">
    <w:p>
      <w:pPr>
        <w:pStyle w:val="39"/>
        <w:rPr>
          <w:rFonts w:hint="default" w:ascii="Times New Roman" w:hAnsi="Times New Roman" w:cs="Times New Roman"/>
          <w:sz w:val="18"/>
          <w:szCs w:val="18"/>
        </w:rPr>
      </w:pPr>
      <w:r>
        <w:rPr>
          <w:rStyle w:val="60"/>
          <w:rFonts w:hint="default" w:ascii="Times New Roman" w:hAnsi="Times New Roman" w:cs="Times New Roman"/>
          <w:sz w:val="18"/>
          <w:szCs w:val="18"/>
          <w:highlight w:val="none"/>
          <w:vertAlign w:val="baseline"/>
        </w:rPr>
        <w:footnoteRef/>
      </w:r>
      <w:r>
        <w:rPr>
          <w:rFonts w:hint="default" w:ascii="Times New Roman" w:hAnsi="Times New Roman" w:cs="Times New Roman"/>
          <w:sz w:val="18"/>
          <w:szCs w:val="18"/>
          <w:highlight w:val="none"/>
        </w:rPr>
        <w:t>　参见国际海事组织A.705(17)决议通过的《关于发布海上安全信息的建议案》</w:t>
      </w:r>
      <w:r>
        <w:rPr>
          <w:rFonts w:hint="default" w:ascii="Times New Roman" w:hAnsi="Times New Roman" w:cs="Times New Roman"/>
          <w:sz w:val="18"/>
          <w:szCs w:val="18"/>
        </w:rPr>
        <w:t>。</w:t>
      </w:r>
    </w:p>
  </w:footnote>
  <w:footnote w:id="16">
    <w:p>
      <w:pPr>
        <w:pStyle w:val="24"/>
        <w:ind w:left="288" w:hanging="288" w:hangingChars="160"/>
        <w:rPr>
          <w:rFonts w:hint="default" w:ascii="Times New Roman" w:hAnsi="Times New Roman" w:cs="Times New Roman"/>
          <w:sz w:val="18"/>
          <w:szCs w:val="18"/>
          <w:highlight w:val="none"/>
        </w:rPr>
      </w:pPr>
      <w:r>
        <w:rPr>
          <w:rStyle w:val="60"/>
          <w:rFonts w:hint="default" w:ascii="Times New Roman" w:hAnsi="Times New Roman" w:cs="Times New Roman"/>
          <w:sz w:val="18"/>
          <w:szCs w:val="18"/>
          <w:highlight w:val="none"/>
          <w:vertAlign w:val="baseline"/>
        </w:rPr>
        <w:footnoteRef/>
      </w:r>
      <w:r>
        <w:rPr>
          <w:rFonts w:hint="default" w:ascii="Times New Roman" w:hAnsi="Times New Roman" w:cs="Times New Roman"/>
          <w:color w:val="auto"/>
          <w:sz w:val="18"/>
          <w:szCs w:val="18"/>
          <w:highlight w:val="none"/>
          <w:u w:val="none"/>
        </w:rPr>
        <w:t>　此要求可由能进行双向通信的</w:t>
      </w:r>
      <w:r>
        <w:rPr>
          <w:rFonts w:ascii="Times New Roman" w:hAnsi="Times New Roman" w:cs="Times New Roman"/>
          <w:strike/>
          <w:dstrike w:val="0"/>
          <w:color w:val="FF0000"/>
          <w:sz w:val="18"/>
          <w:highlight w:val="none"/>
        </w:rPr>
        <w:t>Inmarsat船舶地面站</w:t>
      </w:r>
      <w:r>
        <w:rPr>
          <w:rFonts w:hint="default" w:ascii="Times New Roman" w:hAnsi="Times New Roman" w:cs="Times New Roman"/>
          <w:color w:val="FF0000"/>
          <w:sz w:val="18"/>
          <w:szCs w:val="18"/>
          <w:highlight w:val="none"/>
          <w:u w:val="single"/>
          <w:lang w:eastAsia="zh-CN"/>
        </w:rPr>
        <w:t>认可的移动卫星业务船舶地面站</w:t>
      </w:r>
      <w:r>
        <w:rPr>
          <w:rFonts w:hint="default" w:ascii="Times New Roman" w:hAnsi="Times New Roman" w:cs="Times New Roman"/>
          <w:color w:val="auto"/>
          <w:sz w:val="18"/>
          <w:szCs w:val="18"/>
          <w:highlight w:val="none"/>
          <w:u w:val="none"/>
        </w:rPr>
        <w:t>来满足，如</w:t>
      </w:r>
      <w:r>
        <w:rPr>
          <w:rFonts w:ascii="Times New Roman" w:hAnsi="Times New Roman" w:cs="Times New Roman"/>
          <w:strike/>
          <w:dstrike w:val="0"/>
          <w:color w:val="FF0000"/>
          <w:sz w:val="18"/>
          <w:highlight w:val="none"/>
        </w:rPr>
        <w:t>Inmarsa</w:t>
      </w:r>
      <w:r>
        <w:rPr>
          <w:rFonts w:hint="eastAsia" w:ascii="Times New Roman" w:hAnsi="Times New Roman" w:cs="Times New Roman"/>
          <w:strike/>
          <w:dstrike w:val="0"/>
          <w:color w:val="FF0000"/>
          <w:sz w:val="18"/>
          <w:highlight w:val="none"/>
        </w:rPr>
        <w:t>t -</w:t>
      </w:r>
      <w:r>
        <w:rPr>
          <w:rFonts w:ascii="Times New Roman" w:hAnsi="Times New Roman" w:cs="Times New Roman"/>
          <w:strike/>
          <w:dstrike w:val="0"/>
          <w:color w:val="FF0000"/>
          <w:sz w:val="18"/>
          <w:highlight w:val="none"/>
        </w:rPr>
        <w:t>B</w:t>
      </w:r>
      <w:r>
        <w:rPr>
          <w:rFonts w:hint="eastAsia" w:ascii="Times New Roman" w:hAnsi="Times New Roman" w:cs="Times New Roman"/>
          <w:strike/>
          <w:dstrike w:val="0"/>
          <w:color w:val="FF0000"/>
          <w:sz w:val="18"/>
          <w:highlight w:val="none"/>
        </w:rPr>
        <w:t>和</w:t>
      </w:r>
      <w:r>
        <w:rPr>
          <w:rFonts w:hint="default" w:ascii="Times New Roman" w:hAnsi="Times New Roman" w:cs="Times New Roman"/>
          <w:color w:val="auto"/>
          <w:sz w:val="18"/>
          <w:szCs w:val="18"/>
          <w:highlight w:val="none"/>
          <w:u w:val="none"/>
        </w:rPr>
        <w:t>Fleet-77（A.808(19)决议和</w:t>
      </w:r>
      <w:r>
        <w:rPr>
          <w:rFonts w:hint="default" w:ascii="Times New Roman" w:hAnsi="Times New Roman" w:cs="Times New Roman"/>
          <w:strike/>
          <w:dstrike w:val="0"/>
          <w:color w:val="FF0000"/>
          <w:sz w:val="18"/>
          <w:szCs w:val="18"/>
          <w:highlight w:val="none"/>
          <w:u w:val="none"/>
        </w:rPr>
        <w:t>海上安全委员会决议</w:t>
      </w:r>
      <w:r>
        <w:rPr>
          <w:rFonts w:hint="default" w:ascii="Times New Roman" w:hAnsi="Times New Roman" w:cs="Times New Roman"/>
          <w:color w:val="auto"/>
          <w:sz w:val="18"/>
          <w:szCs w:val="18"/>
          <w:highlight w:val="none"/>
          <w:u w:val="none"/>
        </w:rPr>
        <w:t>MSC.130(75)</w:t>
      </w:r>
      <w:r>
        <w:rPr>
          <w:rFonts w:hint="eastAsia" w:ascii="Times New Roman" w:hAnsi="Times New Roman" w:cs="Times New Roman"/>
          <w:color w:val="FF0000"/>
          <w:sz w:val="18"/>
          <w:szCs w:val="18"/>
          <w:highlight w:val="none"/>
          <w:u w:val="none"/>
          <w:lang w:val="en-US" w:eastAsia="zh-CN"/>
        </w:rPr>
        <w:t>决议</w:t>
      </w:r>
      <w:r>
        <w:rPr>
          <w:rFonts w:hint="default" w:ascii="Times New Roman" w:hAnsi="Times New Roman" w:cs="Times New Roman"/>
          <w:color w:val="auto"/>
          <w:sz w:val="18"/>
          <w:szCs w:val="18"/>
          <w:highlight w:val="none"/>
          <w:u w:val="none"/>
        </w:rPr>
        <w:t>）或Inmarsat -C（经修正的A.807(19)决议）。除另有说明外，本注释适用于对本章规定的</w:t>
      </w:r>
      <w:r>
        <w:rPr>
          <w:rFonts w:ascii="Times New Roman" w:hAnsi="Times New Roman" w:cs="Times New Roman"/>
          <w:strike/>
          <w:dstrike w:val="0"/>
          <w:color w:val="FF0000"/>
          <w:sz w:val="18"/>
          <w:highlight w:val="none"/>
        </w:rPr>
        <w:t>Inmarsat船舶地面站</w:t>
      </w:r>
      <w:r>
        <w:rPr>
          <w:rFonts w:hint="default" w:ascii="Times New Roman" w:hAnsi="Times New Roman" w:cs="Times New Roman"/>
          <w:color w:val="FF0000"/>
          <w:sz w:val="18"/>
          <w:szCs w:val="18"/>
          <w:highlight w:val="none"/>
          <w:u w:val="single"/>
          <w:lang w:eastAsia="zh-CN"/>
        </w:rPr>
        <w:t>认可的移动卫星业务船舶地面站</w:t>
      </w:r>
      <w:r>
        <w:rPr>
          <w:rFonts w:hint="default" w:ascii="Times New Roman" w:hAnsi="Times New Roman" w:cs="Times New Roman"/>
          <w:color w:val="auto"/>
          <w:sz w:val="18"/>
          <w:szCs w:val="18"/>
          <w:highlight w:val="none"/>
          <w:u w:val="none"/>
        </w:rPr>
        <w:t>的所有要求。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2EFFCF"/>
    <w:multiLevelType w:val="singleLevel"/>
    <w:tmpl w:val="FE2EFFCF"/>
    <w:lvl w:ilvl="0" w:tentative="0">
      <w:start w:val="1"/>
      <w:numFmt w:val="decimal"/>
      <w:suff w:val="nothing"/>
      <w:lvlText w:val="（%1）"/>
      <w:lvlJc w:val="left"/>
    </w:lvl>
  </w:abstractNum>
  <w:abstractNum w:abstractNumId="1">
    <w:nsid w:val="7BA71280"/>
    <w:multiLevelType w:val="multilevel"/>
    <w:tmpl w:val="7BA71280"/>
    <w:lvl w:ilvl="0" w:tentative="0">
      <w:start w:val="2"/>
      <w:numFmt w:val="bullet"/>
      <w:pStyle w:val="38"/>
      <w:lvlText w:val="-"/>
      <w:lvlJc w:val="left"/>
      <w:pPr>
        <w:tabs>
          <w:tab w:val="left" w:pos="4680"/>
        </w:tabs>
        <w:ind w:left="4680" w:hanging="360"/>
      </w:pPr>
      <w:rPr>
        <w:rFonts w:hint="default" w:ascii="Times New Roman" w:hAnsi="Times New Roman" w:eastAsia="MS Mincho"/>
      </w:rPr>
    </w:lvl>
    <w:lvl w:ilvl="1" w:tentative="0">
      <w:start w:val="1"/>
      <w:numFmt w:val="bullet"/>
      <w:lvlText w:val=""/>
      <w:lvlJc w:val="left"/>
      <w:pPr>
        <w:tabs>
          <w:tab w:val="left" w:pos="5160"/>
        </w:tabs>
        <w:ind w:left="5160" w:hanging="420"/>
      </w:pPr>
      <w:rPr>
        <w:rFonts w:hint="default" w:ascii="Wingdings" w:hAnsi="Wingdings"/>
      </w:rPr>
    </w:lvl>
    <w:lvl w:ilvl="2" w:tentative="0">
      <w:start w:val="1"/>
      <w:numFmt w:val="bullet"/>
      <w:lvlText w:val=""/>
      <w:lvlJc w:val="left"/>
      <w:pPr>
        <w:tabs>
          <w:tab w:val="left" w:pos="5580"/>
        </w:tabs>
        <w:ind w:left="5580" w:hanging="420"/>
      </w:pPr>
      <w:rPr>
        <w:rFonts w:hint="default" w:ascii="Wingdings" w:hAnsi="Wingdings"/>
      </w:rPr>
    </w:lvl>
    <w:lvl w:ilvl="3" w:tentative="0">
      <w:start w:val="1"/>
      <w:numFmt w:val="bullet"/>
      <w:lvlText w:val=""/>
      <w:lvlJc w:val="left"/>
      <w:pPr>
        <w:tabs>
          <w:tab w:val="left" w:pos="6000"/>
        </w:tabs>
        <w:ind w:left="6000" w:hanging="420"/>
      </w:pPr>
      <w:rPr>
        <w:rFonts w:hint="default" w:ascii="Wingdings" w:hAnsi="Wingdings"/>
      </w:rPr>
    </w:lvl>
    <w:lvl w:ilvl="4" w:tentative="0">
      <w:start w:val="1"/>
      <w:numFmt w:val="bullet"/>
      <w:lvlText w:val=""/>
      <w:lvlJc w:val="left"/>
      <w:pPr>
        <w:tabs>
          <w:tab w:val="left" w:pos="6420"/>
        </w:tabs>
        <w:ind w:left="6420" w:hanging="420"/>
      </w:pPr>
      <w:rPr>
        <w:rFonts w:hint="default" w:ascii="Wingdings" w:hAnsi="Wingdings"/>
      </w:rPr>
    </w:lvl>
    <w:lvl w:ilvl="5" w:tentative="0">
      <w:start w:val="1"/>
      <w:numFmt w:val="bullet"/>
      <w:lvlText w:val=""/>
      <w:lvlJc w:val="left"/>
      <w:pPr>
        <w:tabs>
          <w:tab w:val="left" w:pos="6840"/>
        </w:tabs>
        <w:ind w:left="6840" w:hanging="420"/>
      </w:pPr>
      <w:rPr>
        <w:rFonts w:hint="default" w:ascii="Wingdings" w:hAnsi="Wingdings"/>
      </w:rPr>
    </w:lvl>
    <w:lvl w:ilvl="6" w:tentative="0">
      <w:start w:val="1"/>
      <w:numFmt w:val="bullet"/>
      <w:lvlText w:val=""/>
      <w:lvlJc w:val="left"/>
      <w:pPr>
        <w:tabs>
          <w:tab w:val="left" w:pos="7260"/>
        </w:tabs>
        <w:ind w:left="7260" w:hanging="420"/>
      </w:pPr>
      <w:rPr>
        <w:rFonts w:hint="default" w:ascii="Wingdings" w:hAnsi="Wingdings"/>
      </w:rPr>
    </w:lvl>
    <w:lvl w:ilvl="7" w:tentative="0">
      <w:start w:val="1"/>
      <w:numFmt w:val="bullet"/>
      <w:lvlText w:val=""/>
      <w:lvlJc w:val="left"/>
      <w:pPr>
        <w:tabs>
          <w:tab w:val="left" w:pos="7680"/>
        </w:tabs>
        <w:ind w:left="7680" w:hanging="420"/>
      </w:pPr>
      <w:rPr>
        <w:rFonts w:hint="default" w:ascii="Wingdings" w:hAnsi="Wingdings"/>
      </w:rPr>
    </w:lvl>
    <w:lvl w:ilvl="8" w:tentative="0">
      <w:start w:val="1"/>
      <w:numFmt w:val="bullet"/>
      <w:lvlText w:val=""/>
      <w:lvlJc w:val="left"/>
      <w:pPr>
        <w:tabs>
          <w:tab w:val="left" w:pos="8100"/>
        </w:tabs>
        <w:ind w:left="810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hideSpellingErrors/>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2ZWQ2YmU4ZmMzMGMwYmI4MzdjM2NkYTA3ZWFmZDcifQ=="/>
  </w:docVars>
  <w:rsids>
    <w:rsidRoot w:val="00DF0FB1"/>
    <w:rsid w:val="00000525"/>
    <w:rsid w:val="00017E13"/>
    <w:rsid w:val="000224F5"/>
    <w:rsid w:val="00023844"/>
    <w:rsid w:val="00041650"/>
    <w:rsid w:val="00050270"/>
    <w:rsid w:val="00052F1A"/>
    <w:rsid w:val="00060815"/>
    <w:rsid w:val="00065851"/>
    <w:rsid w:val="000710D5"/>
    <w:rsid w:val="00082268"/>
    <w:rsid w:val="00084DD3"/>
    <w:rsid w:val="000904EE"/>
    <w:rsid w:val="0009707E"/>
    <w:rsid w:val="000B17C3"/>
    <w:rsid w:val="000E3DFB"/>
    <w:rsid w:val="000E6A96"/>
    <w:rsid w:val="000F1DDE"/>
    <w:rsid w:val="000F6586"/>
    <w:rsid w:val="0010483A"/>
    <w:rsid w:val="00113126"/>
    <w:rsid w:val="001133FE"/>
    <w:rsid w:val="00116D2D"/>
    <w:rsid w:val="00122447"/>
    <w:rsid w:val="001252C4"/>
    <w:rsid w:val="00126669"/>
    <w:rsid w:val="0013423D"/>
    <w:rsid w:val="001416DF"/>
    <w:rsid w:val="001422B4"/>
    <w:rsid w:val="001422CD"/>
    <w:rsid w:val="00145E0C"/>
    <w:rsid w:val="00152B17"/>
    <w:rsid w:val="00156562"/>
    <w:rsid w:val="00165D62"/>
    <w:rsid w:val="001716E3"/>
    <w:rsid w:val="001807E1"/>
    <w:rsid w:val="001877BA"/>
    <w:rsid w:val="0019401A"/>
    <w:rsid w:val="001B1E6A"/>
    <w:rsid w:val="001B5979"/>
    <w:rsid w:val="001B61E3"/>
    <w:rsid w:val="001C64AA"/>
    <w:rsid w:val="001D3E93"/>
    <w:rsid w:val="001E7F8F"/>
    <w:rsid w:val="0020061F"/>
    <w:rsid w:val="00210567"/>
    <w:rsid w:val="00233C3C"/>
    <w:rsid w:val="002373FF"/>
    <w:rsid w:val="00237C43"/>
    <w:rsid w:val="00241BEA"/>
    <w:rsid w:val="00241F8B"/>
    <w:rsid w:val="00245849"/>
    <w:rsid w:val="00260048"/>
    <w:rsid w:val="002644CB"/>
    <w:rsid w:val="0026571F"/>
    <w:rsid w:val="00274CFB"/>
    <w:rsid w:val="00275231"/>
    <w:rsid w:val="0027541D"/>
    <w:rsid w:val="002822E4"/>
    <w:rsid w:val="0028310E"/>
    <w:rsid w:val="00294B87"/>
    <w:rsid w:val="002A0567"/>
    <w:rsid w:val="002A1C75"/>
    <w:rsid w:val="002B5090"/>
    <w:rsid w:val="002C0006"/>
    <w:rsid w:val="002C7C54"/>
    <w:rsid w:val="002D0504"/>
    <w:rsid w:val="002D2987"/>
    <w:rsid w:val="002D319A"/>
    <w:rsid w:val="002E3131"/>
    <w:rsid w:val="002E56CC"/>
    <w:rsid w:val="002F3A08"/>
    <w:rsid w:val="00302495"/>
    <w:rsid w:val="003027A8"/>
    <w:rsid w:val="00322140"/>
    <w:rsid w:val="00326894"/>
    <w:rsid w:val="00335F5D"/>
    <w:rsid w:val="003361C9"/>
    <w:rsid w:val="00353E3E"/>
    <w:rsid w:val="003633AA"/>
    <w:rsid w:val="00365842"/>
    <w:rsid w:val="00373017"/>
    <w:rsid w:val="0037492F"/>
    <w:rsid w:val="00383CA9"/>
    <w:rsid w:val="00385A98"/>
    <w:rsid w:val="0039419A"/>
    <w:rsid w:val="00397410"/>
    <w:rsid w:val="003A5165"/>
    <w:rsid w:val="003A5688"/>
    <w:rsid w:val="003B50D4"/>
    <w:rsid w:val="003B63CB"/>
    <w:rsid w:val="003F13C8"/>
    <w:rsid w:val="003F49D4"/>
    <w:rsid w:val="00411BBE"/>
    <w:rsid w:val="00411F95"/>
    <w:rsid w:val="00412DC3"/>
    <w:rsid w:val="00420555"/>
    <w:rsid w:val="00424262"/>
    <w:rsid w:val="00425EF3"/>
    <w:rsid w:val="00431D21"/>
    <w:rsid w:val="00433A91"/>
    <w:rsid w:val="004503B0"/>
    <w:rsid w:val="00465C58"/>
    <w:rsid w:val="00473CCC"/>
    <w:rsid w:val="00475370"/>
    <w:rsid w:val="00475B7A"/>
    <w:rsid w:val="004800F7"/>
    <w:rsid w:val="004A17E4"/>
    <w:rsid w:val="004B45C8"/>
    <w:rsid w:val="004C1133"/>
    <w:rsid w:val="004C235A"/>
    <w:rsid w:val="004C5489"/>
    <w:rsid w:val="004C743C"/>
    <w:rsid w:val="004D21AC"/>
    <w:rsid w:val="004E129C"/>
    <w:rsid w:val="004E149C"/>
    <w:rsid w:val="004E6CB3"/>
    <w:rsid w:val="005066D2"/>
    <w:rsid w:val="00507B80"/>
    <w:rsid w:val="00507EC7"/>
    <w:rsid w:val="0051246B"/>
    <w:rsid w:val="0051764C"/>
    <w:rsid w:val="00523F73"/>
    <w:rsid w:val="005251DD"/>
    <w:rsid w:val="0052580B"/>
    <w:rsid w:val="00534CD6"/>
    <w:rsid w:val="005360EA"/>
    <w:rsid w:val="005557F1"/>
    <w:rsid w:val="005605C1"/>
    <w:rsid w:val="00572250"/>
    <w:rsid w:val="005A17FE"/>
    <w:rsid w:val="005C69EF"/>
    <w:rsid w:val="005D4E6C"/>
    <w:rsid w:val="005E1912"/>
    <w:rsid w:val="005F00C5"/>
    <w:rsid w:val="005F5901"/>
    <w:rsid w:val="00610374"/>
    <w:rsid w:val="006158C8"/>
    <w:rsid w:val="00616169"/>
    <w:rsid w:val="00631592"/>
    <w:rsid w:val="00637685"/>
    <w:rsid w:val="006416E2"/>
    <w:rsid w:val="006441DB"/>
    <w:rsid w:val="00660832"/>
    <w:rsid w:val="00665464"/>
    <w:rsid w:val="006666BF"/>
    <w:rsid w:val="00677890"/>
    <w:rsid w:val="00691196"/>
    <w:rsid w:val="006A498F"/>
    <w:rsid w:val="006B1721"/>
    <w:rsid w:val="006B29A3"/>
    <w:rsid w:val="006B66AA"/>
    <w:rsid w:val="006C472D"/>
    <w:rsid w:val="006C7953"/>
    <w:rsid w:val="006E04FC"/>
    <w:rsid w:val="006E60E7"/>
    <w:rsid w:val="006E7668"/>
    <w:rsid w:val="007039E4"/>
    <w:rsid w:val="00704D0B"/>
    <w:rsid w:val="007168EB"/>
    <w:rsid w:val="0072117B"/>
    <w:rsid w:val="00721968"/>
    <w:rsid w:val="00742141"/>
    <w:rsid w:val="00744E55"/>
    <w:rsid w:val="007548A8"/>
    <w:rsid w:val="007621B2"/>
    <w:rsid w:val="0076379F"/>
    <w:rsid w:val="00770E9F"/>
    <w:rsid w:val="00773C6C"/>
    <w:rsid w:val="00775936"/>
    <w:rsid w:val="00780540"/>
    <w:rsid w:val="00785B80"/>
    <w:rsid w:val="00786C47"/>
    <w:rsid w:val="007910E8"/>
    <w:rsid w:val="007921C7"/>
    <w:rsid w:val="00797A18"/>
    <w:rsid w:val="00797EB6"/>
    <w:rsid w:val="007B6025"/>
    <w:rsid w:val="007C1CFE"/>
    <w:rsid w:val="007C3A79"/>
    <w:rsid w:val="007D3E35"/>
    <w:rsid w:val="007D755E"/>
    <w:rsid w:val="007E6A69"/>
    <w:rsid w:val="0080388C"/>
    <w:rsid w:val="00820E98"/>
    <w:rsid w:val="00830D70"/>
    <w:rsid w:val="008323CB"/>
    <w:rsid w:val="00835BC2"/>
    <w:rsid w:val="00840A70"/>
    <w:rsid w:val="0085462F"/>
    <w:rsid w:val="00854681"/>
    <w:rsid w:val="008671DC"/>
    <w:rsid w:val="008959A6"/>
    <w:rsid w:val="008A09E5"/>
    <w:rsid w:val="008A564F"/>
    <w:rsid w:val="008B2B83"/>
    <w:rsid w:val="008B2C4A"/>
    <w:rsid w:val="008B34B0"/>
    <w:rsid w:val="008C27D9"/>
    <w:rsid w:val="008C28AA"/>
    <w:rsid w:val="008C45F4"/>
    <w:rsid w:val="008C7670"/>
    <w:rsid w:val="008D087D"/>
    <w:rsid w:val="008D7D0C"/>
    <w:rsid w:val="008F3394"/>
    <w:rsid w:val="008F7652"/>
    <w:rsid w:val="00901C10"/>
    <w:rsid w:val="00905723"/>
    <w:rsid w:val="009117D3"/>
    <w:rsid w:val="00913CFA"/>
    <w:rsid w:val="009202A7"/>
    <w:rsid w:val="009229ED"/>
    <w:rsid w:val="00923161"/>
    <w:rsid w:val="00927D89"/>
    <w:rsid w:val="00933513"/>
    <w:rsid w:val="00933764"/>
    <w:rsid w:val="00947400"/>
    <w:rsid w:val="00950AD4"/>
    <w:rsid w:val="00952C21"/>
    <w:rsid w:val="009532FA"/>
    <w:rsid w:val="0096781F"/>
    <w:rsid w:val="0097093C"/>
    <w:rsid w:val="00977316"/>
    <w:rsid w:val="00983202"/>
    <w:rsid w:val="009838AB"/>
    <w:rsid w:val="009879D6"/>
    <w:rsid w:val="00987C42"/>
    <w:rsid w:val="00991412"/>
    <w:rsid w:val="00993058"/>
    <w:rsid w:val="009A0A7E"/>
    <w:rsid w:val="009A0E7D"/>
    <w:rsid w:val="009B067F"/>
    <w:rsid w:val="009B3D01"/>
    <w:rsid w:val="009C0565"/>
    <w:rsid w:val="009C2CD1"/>
    <w:rsid w:val="009C6DFD"/>
    <w:rsid w:val="009D32F1"/>
    <w:rsid w:val="009D4FF8"/>
    <w:rsid w:val="00A10313"/>
    <w:rsid w:val="00A142F9"/>
    <w:rsid w:val="00A31F4A"/>
    <w:rsid w:val="00A43B96"/>
    <w:rsid w:val="00A560A0"/>
    <w:rsid w:val="00A622A0"/>
    <w:rsid w:val="00A64255"/>
    <w:rsid w:val="00A66D25"/>
    <w:rsid w:val="00A721A0"/>
    <w:rsid w:val="00A7651A"/>
    <w:rsid w:val="00A82D8F"/>
    <w:rsid w:val="00A84666"/>
    <w:rsid w:val="00AA0AAB"/>
    <w:rsid w:val="00AA3281"/>
    <w:rsid w:val="00AD3884"/>
    <w:rsid w:val="00AE0B4A"/>
    <w:rsid w:val="00AE1C4C"/>
    <w:rsid w:val="00AE4D11"/>
    <w:rsid w:val="00AE694D"/>
    <w:rsid w:val="00AF30E5"/>
    <w:rsid w:val="00B03A8D"/>
    <w:rsid w:val="00B21666"/>
    <w:rsid w:val="00B37DA9"/>
    <w:rsid w:val="00B4266F"/>
    <w:rsid w:val="00B55430"/>
    <w:rsid w:val="00B60FE1"/>
    <w:rsid w:val="00B70A67"/>
    <w:rsid w:val="00B7236F"/>
    <w:rsid w:val="00B91BE6"/>
    <w:rsid w:val="00B92975"/>
    <w:rsid w:val="00B9316B"/>
    <w:rsid w:val="00B943CF"/>
    <w:rsid w:val="00B96E2E"/>
    <w:rsid w:val="00B97C6C"/>
    <w:rsid w:val="00BA127C"/>
    <w:rsid w:val="00BA5834"/>
    <w:rsid w:val="00BB71A7"/>
    <w:rsid w:val="00BD03CD"/>
    <w:rsid w:val="00BD22DA"/>
    <w:rsid w:val="00BE346A"/>
    <w:rsid w:val="00BE5AE6"/>
    <w:rsid w:val="00BF1C89"/>
    <w:rsid w:val="00BF4566"/>
    <w:rsid w:val="00BF5733"/>
    <w:rsid w:val="00C006F5"/>
    <w:rsid w:val="00C072C7"/>
    <w:rsid w:val="00C12BDF"/>
    <w:rsid w:val="00C16581"/>
    <w:rsid w:val="00C21E05"/>
    <w:rsid w:val="00C2412E"/>
    <w:rsid w:val="00C31F58"/>
    <w:rsid w:val="00C439F3"/>
    <w:rsid w:val="00C61C6D"/>
    <w:rsid w:val="00C720AD"/>
    <w:rsid w:val="00C77898"/>
    <w:rsid w:val="00C77F3D"/>
    <w:rsid w:val="00C77FEC"/>
    <w:rsid w:val="00C807AD"/>
    <w:rsid w:val="00C8192C"/>
    <w:rsid w:val="00CA77A6"/>
    <w:rsid w:val="00CB5FFA"/>
    <w:rsid w:val="00CB7F90"/>
    <w:rsid w:val="00CC237E"/>
    <w:rsid w:val="00CC5073"/>
    <w:rsid w:val="00CC75BF"/>
    <w:rsid w:val="00CD2B29"/>
    <w:rsid w:val="00CD2B4D"/>
    <w:rsid w:val="00D02E61"/>
    <w:rsid w:val="00D058EA"/>
    <w:rsid w:val="00D07A90"/>
    <w:rsid w:val="00D07DCF"/>
    <w:rsid w:val="00D149D9"/>
    <w:rsid w:val="00D469BD"/>
    <w:rsid w:val="00D46DAB"/>
    <w:rsid w:val="00D5192B"/>
    <w:rsid w:val="00D528A2"/>
    <w:rsid w:val="00D544EF"/>
    <w:rsid w:val="00D5640A"/>
    <w:rsid w:val="00D56E00"/>
    <w:rsid w:val="00D607FF"/>
    <w:rsid w:val="00D747A3"/>
    <w:rsid w:val="00D74C0D"/>
    <w:rsid w:val="00D76839"/>
    <w:rsid w:val="00D86024"/>
    <w:rsid w:val="00D93F77"/>
    <w:rsid w:val="00DA4382"/>
    <w:rsid w:val="00DA5BFD"/>
    <w:rsid w:val="00DA7D2B"/>
    <w:rsid w:val="00DC52EC"/>
    <w:rsid w:val="00DD1C93"/>
    <w:rsid w:val="00DD4D81"/>
    <w:rsid w:val="00DF0FB1"/>
    <w:rsid w:val="00DF1B6B"/>
    <w:rsid w:val="00DF38EB"/>
    <w:rsid w:val="00DF6192"/>
    <w:rsid w:val="00DF7B34"/>
    <w:rsid w:val="00E002BA"/>
    <w:rsid w:val="00E07BF4"/>
    <w:rsid w:val="00E1778E"/>
    <w:rsid w:val="00E27121"/>
    <w:rsid w:val="00E316B8"/>
    <w:rsid w:val="00E320F9"/>
    <w:rsid w:val="00E331DC"/>
    <w:rsid w:val="00E441AD"/>
    <w:rsid w:val="00E44536"/>
    <w:rsid w:val="00E44C3A"/>
    <w:rsid w:val="00E47EEA"/>
    <w:rsid w:val="00E63236"/>
    <w:rsid w:val="00E6396F"/>
    <w:rsid w:val="00E65E35"/>
    <w:rsid w:val="00E72238"/>
    <w:rsid w:val="00E77E9A"/>
    <w:rsid w:val="00E824B4"/>
    <w:rsid w:val="00E84922"/>
    <w:rsid w:val="00E8606D"/>
    <w:rsid w:val="00E86711"/>
    <w:rsid w:val="00E879F4"/>
    <w:rsid w:val="00E91131"/>
    <w:rsid w:val="00E91884"/>
    <w:rsid w:val="00E92818"/>
    <w:rsid w:val="00EA16C8"/>
    <w:rsid w:val="00EB220A"/>
    <w:rsid w:val="00EC19F3"/>
    <w:rsid w:val="00ED36BE"/>
    <w:rsid w:val="00EE4CE5"/>
    <w:rsid w:val="00EF7625"/>
    <w:rsid w:val="00EF7A93"/>
    <w:rsid w:val="00EF7F30"/>
    <w:rsid w:val="00F0095D"/>
    <w:rsid w:val="00F06367"/>
    <w:rsid w:val="00F22980"/>
    <w:rsid w:val="00F260A0"/>
    <w:rsid w:val="00F44C84"/>
    <w:rsid w:val="00F5761C"/>
    <w:rsid w:val="00F63639"/>
    <w:rsid w:val="00F71D99"/>
    <w:rsid w:val="00F83902"/>
    <w:rsid w:val="00F90051"/>
    <w:rsid w:val="00F91110"/>
    <w:rsid w:val="00F9219C"/>
    <w:rsid w:val="00FA0998"/>
    <w:rsid w:val="00FA2006"/>
    <w:rsid w:val="00FA2E20"/>
    <w:rsid w:val="00FB21EE"/>
    <w:rsid w:val="00FB2831"/>
    <w:rsid w:val="00FB3A74"/>
    <w:rsid w:val="00FB41F6"/>
    <w:rsid w:val="00FC2080"/>
    <w:rsid w:val="00FC4EB9"/>
    <w:rsid w:val="00FC674F"/>
    <w:rsid w:val="02B83FDB"/>
    <w:rsid w:val="03C61190"/>
    <w:rsid w:val="04925C6F"/>
    <w:rsid w:val="04BB4CD2"/>
    <w:rsid w:val="04E36FD4"/>
    <w:rsid w:val="050B7FB4"/>
    <w:rsid w:val="053233A5"/>
    <w:rsid w:val="05C20B21"/>
    <w:rsid w:val="085A091A"/>
    <w:rsid w:val="096F65AD"/>
    <w:rsid w:val="09A37941"/>
    <w:rsid w:val="09B203C0"/>
    <w:rsid w:val="0A372560"/>
    <w:rsid w:val="0A45097D"/>
    <w:rsid w:val="0A766EC8"/>
    <w:rsid w:val="0A8E01D2"/>
    <w:rsid w:val="0AFB419E"/>
    <w:rsid w:val="0B26775F"/>
    <w:rsid w:val="0B5A7A9C"/>
    <w:rsid w:val="0E7A626D"/>
    <w:rsid w:val="0E8476AA"/>
    <w:rsid w:val="0F222B57"/>
    <w:rsid w:val="106E43B1"/>
    <w:rsid w:val="119E5026"/>
    <w:rsid w:val="11D4492C"/>
    <w:rsid w:val="11EF1919"/>
    <w:rsid w:val="1275208F"/>
    <w:rsid w:val="14D52C67"/>
    <w:rsid w:val="18D601B9"/>
    <w:rsid w:val="18F424BE"/>
    <w:rsid w:val="195A3BA0"/>
    <w:rsid w:val="195E2F47"/>
    <w:rsid w:val="1B165E41"/>
    <w:rsid w:val="1B2D745B"/>
    <w:rsid w:val="1D3603A6"/>
    <w:rsid w:val="1D8B16CA"/>
    <w:rsid w:val="1DF0219A"/>
    <w:rsid w:val="1E4115C3"/>
    <w:rsid w:val="1E951A9F"/>
    <w:rsid w:val="20FF0EDC"/>
    <w:rsid w:val="211A798C"/>
    <w:rsid w:val="243E0A3B"/>
    <w:rsid w:val="244C4AC0"/>
    <w:rsid w:val="24B970D3"/>
    <w:rsid w:val="254E02AA"/>
    <w:rsid w:val="261020E8"/>
    <w:rsid w:val="263C495F"/>
    <w:rsid w:val="265E08E4"/>
    <w:rsid w:val="268B018D"/>
    <w:rsid w:val="26CE6242"/>
    <w:rsid w:val="26D37391"/>
    <w:rsid w:val="2727277E"/>
    <w:rsid w:val="277F1F10"/>
    <w:rsid w:val="27940A3A"/>
    <w:rsid w:val="27E17BC9"/>
    <w:rsid w:val="27E531E0"/>
    <w:rsid w:val="28D91016"/>
    <w:rsid w:val="299518E7"/>
    <w:rsid w:val="2AAC7B26"/>
    <w:rsid w:val="2ACC04BE"/>
    <w:rsid w:val="2B2F3D35"/>
    <w:rsid w:val="2B534863"/>
    <w:rsid w:val="2B5C4158"/>
    <w:rsid w:val="2B8A2E1D"/>
    <w:rsid w:val="2BD30D85"/>
    <w:rsid w:val="2C052EC7"/>
    <w:rsid w:val="2C5D10D6"/>
    <w:rsid w:val="2D7D70D6"/>
    <w:rsid w:val="2E1D20F7"/>
    <w:rsid w:val="2E6B3073"/>
    <w:rsid w:val="2FA272EC"/>
    <w:rsid w:val="301A5B60"/>
    <w:rsid w:val="30C76FFE"/>
    <w:rsid w:val="30CB1643"/>
    <w:rsid w:val="30D75348"/>
    <w:rsid w:val="31D84555"/>
    <w:rsid w:val="32443E20"/>
    <w:rsid w:val="329F56E1"/>
    <w:rsid w:val="32E25FCF"/>
    <w:rsid w:val="35E14981"/>
    <w:rsid w:val="35E70889"/>
    <w:rsid w:val="364929E4"/>
    <w:rsid w:val="364D7D8F"/>
    <w:rsid w:val="367E1010"/>
    <w:rsid w:val="37F97036"/>
    <w:rsid w:val="39AB1859"/>
    <w:rsid w:val="3B1856CC"/>
    <w:rsid w:val="3CA76412"/>
    <w:rsid w:val="3CE64473"/>
    <w:rsid w:val="3D8E2933"/>
    <w:rsid w:val="3DF51BDC"/>
    <w:rsid w:val="3ED7749D"/>
    <w:rsid w:val="3EF2071A"/>
    <w:rsid w:val="3F441E5C"/>
    <w:rsid w:val="3F847225"/>
    <w:rsid w:val="4205317B"/>
    <w:rsid w:val="42835F90"/>
    <w:rsid w:val="42A91660"/>
    <w:rsid w:val="43191F6B"/>
    <w:rsid w:val="43272915"/>
    <w:rsid w:val="434223DB"/>
    <w:rsid w:val="436A06BD"/>
    <w:rsid w:val="44C74FBB"/>
    <w:rsid w:val="45847114"/>
    <w:rsid w:val="466C55EF"/>
    <w:rsid w:val="46916A99"/>
    <w:rsid w:val="470C3192"/>
    <w:rsid w:val="4804439F"/>
    <w:rsid w:val="487B7128"/>
    <w:rsid w:val="493A3E74"/>
    <w:rsid w:val="493F1241"/>
    <w:rsid w:val="4A4F6A8F"/>
    <w:rsid w:val="4B03647F"/>
    <w:rsid w:val="4B661E24"/>
    <w:rsid w:val="4C9C078A"/>
    <w:rsid w:val="4D3942E4"/>
    <w:rsid w:val="4E5437A9"/>
    <w:rsid w:val="4F1871FE"/>
    <w:rsid w:val="4FC043CE"/>
    <w:rsid w:val="500C3CA7"/>
    <w:rsid w:val="50110D79"/>
    <w:rsid w:val="51207EAA"/>
    <w:rsid w:val="51D52DA0"/>
    <w:rsid w:val="51F449F9"/>
    <w:rsid w:val="520F67E4"/>
    <w:rsid w:val="52D07026"/>
    <w:rsid w:val="53133656"/>
    <w:rsid w:val="54095A94"/>
    <w:rsid w:val="560F71EF"/>
    <w:rsid w:val="56342B4B"/>
    <w:rsid w:val="57AB3B2D"/>
    <w:rsid w:val="57BA79D5"/>
    <w:rsid w:val="59854DE2"/>
    <w:rsid w:val="599678EC"/>
    <w:rsid w:val="59A32A25"/>
    <w:rsid w:val="5B0F69E6"/>
    <w:rsid w:val="5B334898"/>
    <w:rsid w:val="5B546FB8"/>
    <w:rsid w:val="5E32562A"/>
    <w:rsid w:val="5F4F1E3F"/>
    <w:rsid w:val="5F8E0239"/>
    <w:rsid w:val="601B6F8F"/>
    <w:rsid w:val="61296517"/>
    <w:rsid w:val="61431D54"/>
    <w:rsid w:val="61D23C04"/>
    <w:rsid w:val="623221F0"/>
    <w:rsid w:val="62F54FD0"/>
    <w:rsid w:val="65FA62CB"/>
    <w:rsid w:val="66425804"/>
    <w:rsid w:val="6721271E"/>
    <w:rsid w:val="6780690C"/>
    <w:rsid w:val="680E0C50"/>
    <w:rsid w:val="6B6F3AA6"/>
    <w:rsid w:val="6BAB097C"/>
    <w:rsid w:val="6BB21E96"/>
    <w:rsid w:val="6CAC7E7F"/>
    <w:rsid w:val="6D3E2A2A"/>
    <w:rsid w:val="6DC51439"/>
    <w:rsid w:val="6DEF5A35"/>
    <w:rsid w:val="6EC45C46"/>
    <w:rsid w:val="706C6EF4"/>
    <w:rsid w:val="70B53517"/>
    <w:rsid w:val="71024609"/>
    <w:rsid w:val="714D3EFA"/>
    <w:rsid w:val="7192787B"/>
    <w:rsid w:val="71A24BDB"/>
    <w:rsid w:val="71DE066B"/>
    <w:rsid w:val="725D26DD"/>
    <w:rsid w:val="72BB29B9"/>
    <w:rsid w:val="72DE4D49"/>
    <w:rsid w:val="73984F38"/>
    <w:rsid w:val="76101F3F"/>
    <w:rsid w:val="7647051C"/>
    <w:rsid w:val="783C0AEB"/>
    <w:rsid w:val="786060EA"/>
    <w:rsid w:val="7AFB3928"/>
    <w:rsid w:val="7B29172A"/>
    <w:rsid w:val="7BCA3965"/>
    <w:rsid w:val="7BCC4092"/>
    <w:rsid w:val="7BDF3D25"/>
    <w:rsid w:val="7C125996"/>
    <w:rsid w:val="7C88732C"/>
    <w:rsid w:val="7E5801EE"/>
    <w:rsid w:val="7F7044A5"/>
    <w:rsid w:val="7FB04189"/>
    <w:rsid w:val="7FC86CB5"/>
    <w:rsid w:val="7FF35BA2"/>
    <w:rsid w:val="ADBBDA6C"/>
    <w:rsid w:val="FBF30B0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semiHidden="0" w:name="footnote text"/>
    <w:lsdException w:qFormat="1" w:unhideWhenUsed="0" w:uiPriority="0" w:name="annotation text"/>
    <w:lsdException w:qFormat="1" w:uiPriority="99" w:semiHidden="0" w:name="header"/>
    <w:lsdException w:qFormat="1" w:uiPriority="99"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99" w:semiHidden="0"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61"/>
    <w:qFormat/>
    <w:uiPriority w:val="0"/>
    <w:pPr>
      <w:widowControl/>
      <w:spacing w:before="240" w:after="60" w:line="276" w:lineRule="auto"/>
      <w:ind w:left="851"/>
      <w:jc w:val="left"/>
      <w:outlineLvl w:val="0"/>
    </w:pPr>
    <w:rPr>
      <w:rFonts w:cs="Arial"/>
      <w:b/>
      <w:bCs/>
      <w:caps/>
      <w:kern w:val="32"/>
      <w:sz w:val="22"/>
      <w:szCs w:val="32"/>
      <w:lang w:val="en-GB"/>
    </w:rPr>
  </w:style>
  <w:style w:type="paragraph" w:styleId="3">
    <w:name w:val="heading 2"/>
    <w:basedOn w:val="2"/>
    <w:next w:val="1"/>
    <w:link w:val="62"/>
    <w:qFormat/>
    <w:uiPriority w:val="0"/>
    <w:pPr>
      <w:outlineLvl w:val="1"/>
    </w:pPr>
  </w:style>
  <w:style w:type="paragraph" w:styleId="4">
    <w:name w:val="heading 3"/>
    <w:basedOn w:val="1"/>
    <w:next w:val="1"/>
    <w:link w:val="63"/>
    <w:qFormat/>
    <w:uiPriority w:val="0"/>
    <w:pPr>
      <w:widowControl/>
      <w:spacing w:before="240" w:after="60" w:line="276" w:lineRule="auto"/>
      <w:ind w:left="851"/>
      <w:jc w:val="left"/>
      <w:outlineLvl w:val="2"/>
    </w:pPr>
    <w:rPr>
      <w:rFonts w:cs="Arial"/>
      <w:b/>
      <w:bCs/>
      <w:kern w:val="0"/>
      <w:sz w:val="22"/>
      <w:szCs w:val="26"/>
      <w:lang w:val="en-GB"/>
    </w:rPr>
  </w:style>
  <w:style w:type="paragraph" w:styleId="5">
    <w:name w:val="heading 4"/>
    <w:basedOn w:val="1"/>
    <w:next w:val="1"/>
    <w:link w:val="64"/>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5"/>
    <w:qFormat/>
    <w:uiPriority w:val="0"/>
    <w:pPr>
      <w:widowControl/>
      <w:spacing w:before="240" w:after="60" w:line="276" w:lineRule="auto"/>
      <w:ind w:left="1134"/>
      <w:jc w:val="left"/>
      <w:outlineLvl w:val="4"/>
    </w:pPr>
    <w:rPr>
      <w:bCs/>
      <w:i/>
      <w:iCs/>
      <w:kern w:val="0"/>
      <w:sz w:val="22"/>
      <w:szCs w:val="26"/>
      <w:lang w:val="en-GB"/>
    </w:rPr>
  </w:style>
  <w:style w:type="paragraph" w:styleId="7">
    <w:name w:val="heading 6"/>
    <w:basedOn w:val="1"/>
    <w:next w:val="1"/>
    <w:link w:val="66"/>
    <w:qFormat/>
    <w:uiPriority w:val="0"/>
    <w:pPr>
      <w:widowControl/>
      <w:spacing w:before="240" w:after="60" w:line="276" w:lineRule="auto"/>
      <w:ind w:left="1134"/>
      <w:jc w:val="left"/>
      <w:outlineLvl w:val="5"/>
    </w:pPr>
    <w:rPr>
      <w:bCs/>
      <w:kern w:val="0"/>
      <w:sz w:val="22"/>
      <w:lang w:val="en-GB"/>
    </w:rPr>
  </w:style>
  <w:style w:type="paragraph" w:styleId="8">
    <w:name w:val="heading 7"/>
    <w:basedOn w:val="1"/>
    <w:next w:val="1"/>
    <w:link w:val="67"/>
    <w:qFormat/>
    <w:uiPriority w:val="0"/>
    <w:pPr>
      <w:keepNext/>
      <w:autoSpaceDE w:val="0"/>
      <w:autoSpaceDN w:val="0"/>
      <w:adjustRightInd w:val="0"/>
      <w:ind w:left="800" w:leftChars="800"/>
      <w:jc w:val="left"/>
      <w:outlineLvl w:val="6"/>
    </w:pPr>
    <w:rPr>
      <w:rFonts w:ascii="Times New Roman" w:hAnsi="Times New Roman" w:eastAsia="MS Mincho"/>
      <w:kern w:val="0"/>
      <w:sz w:val="24"/>
      <w:szCs w:val="24"/>
      <w:lang w:val="en-GB" w:eastAsia="ja-JP"/>
    </w:rPr>
  </w:style>
  <w:style w:type="paragraph" w:styleId="9">
    <w:name w:val="heading 8"/>
    <w:basedOn w:val="1"/>
    <w:next w:val="1"/>
    <w:link w:val="68"/>
    <w:qFormat/>
    <w:uiPriority w:val="0"/>
    <w:pPr>
      <w:keepNext/>
      <w:autoSpaceDE w:val="0"/>
      <w:autoSpaceDN w:val="0"/>
      <w:adjustRightInd w:val="0"/>
      <w:ind w:left="1200" w:leftChars="1200"/>
      <w:jc w:val="left"/>
      <w:outlineLvl w:val="7"/>
    </w:pPr>
    <w:rPr>
      <w:rFonts w:ascii="Times New Roman" w:hAnsi="Times New Roman" w:eastAsia="MS Mincho"/>
      <w:kern w:val="0"/>
      <w:sz w:val="24"/>
      <w:szCs w:val="24"/>
      <w:lang w:val="en-GB" w:eastAsia="ja-JP"/>
    </w:rPr>
  </w:style>
  <w:style w:type="paragraph" w:styleId="10">
    <w:name w:val="heading 9"/>
    <w:basedOn w:val="1"/>
    <w:next w:val="1"/>
    <w:link w:val="69"/>
    <w:qFormat/>
    <w:uiPriority w:val="0"/>
    <w:pPr>
      <w:keepNext/>
      <w:autoSpaceDE w:val="0"/>
      <w:autoSpaceDN w:val="0"/>
      <w:adjustRightInd w:val="0"/>
      <w:ind w:left="1200" w:leftChars="1200"/>
      <w:jc w:val="left"/>
      <w:outlineLvl w:val="8"/>
    </w:pPr>
    <w:rPr>
      <w:rFonts w:ascii="Times New Roman" w:hAnsi="Times New Roman" w:eastAsia="MS Mincho"/>
      <w:kern w:val="0"/>
      <w:sz w:val="24"/>
      <w:szCs w:val="24"/>
      <w:lang w:val="en-GB" w:eastAsia="ja-JP"/>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szCs w:val="22"/>
    </w:rPr>
  </w:style>
  <w:style w:type="paragraph" w:styleId="12">
    <w:name w:val="Note Heading"/>
    <w:basedOn w:val="1"/>
    <w:next w:val="1"/>
    <w:link w:val="105"/>
    <w:qFormat/>
    <w:uiPriority w:val="0"/>
    <w:pPr>
      <w:autoSpaceDE w:val="0"/>
      <w:autoSpaceDN w:val="0"/>
      <w:adjustRightInd w:val="0"/>
      <w:jc w:val="center"/>
    </w:pPr>
    <w:rPr>
      <w:rFonts w:ascii="Times New Roman" w:hAnsi="Times New Roman" w:eastAsia="MS Mincho"/>
      <w:kern w:val="0"/>
      <w:sz w:val="24"/>
      <w:szCs w:val="24"/>
      <w:lang w:val="en-GB" w:eastAsia="ja-JP"/>
    </w:rPr>
  </w:style>
  <w:style w:type="paragraph" w:styleId="13">
    <w:name w:val="E-mail Signature"/>
    <w:basedOn w:val="1"/>
    <w:link w:val="110"/>
    <w:qFormat/>
    <w:uiPriority w:val="0"/>
    <w:pPr>
      <w:autoSpaceDE w:val="0"/>
      <w:autoSpaceDN w:val="0"/>
      <w:adjustRightInd w:val="0"/>
      <w:jc w:val="left"/>
    </w:pPr>
    <w:rPr>
      <w:rFonts w:eastAsia="MS Mincho"/>
      <w:sz w:val="24"/>
      <w:szCs w:val="24"/>
      <w:lang w:eastAsia="ja-JP"/>
    </w:rPr>
  </w:style>
  <w:style w:type="paragraph" w:styleId="14">
    <w:name w:val="Document Map"/>
    <w:basedOn w:val="1"/>
    <w:link w:val="95"/>
    <w:semiHidden/>
    <w:unhideWhenUsed/>
    <w:qFormat/>
    <w:uiPriority w:val="0"/>
    <w:pPr>
      <w:widowControl/>
      <w:spacing w:after="200" w:line="276" w:lineRule="auto"/>
      <w:jc w:val="left"/>
    </w:pPr>
    <w:rPr>
      <w:rFonts w:ascii="宋体"/>
      <w:sz w:val="18"/>
      <w:szCs w:val="18"/>
    </w:rPr>
  </w:style>
  <w:style w:type="paragraph" w:styleId="15">
    <w:name w:val="annotation text"/>
    <w:basedOn w:val="1"/>
    <w:link w:val="129"/>
    <w:semiHidden/>
    <w:qFormat/>
    <w:uiPriority w:val="0"/>
    <w:pPr>
      <w:jc w:val="left"/>
    </w:pPr>
  </w:style>
  <w:style w:type="paragraph" w:styleId="16">
    <w:name w:val="Salutation"/>
    <w:basedOn w:val="1"/>
    <w:next w:val="1"/>
    <w:link w:val="103"/>
    <w:qFormat/>
    <w:uiPriority w:val="0"/>
    <w:pPr>
      <w:autoSpaceDE w:val="0"/>
      <w:autoSpaceDN w:val="0"/>
      <w:adjustRightInd w:val="0"/>
      <w:jc w:val="left"/>
    </w:pPr>
    <w:rPr>
      <w:rFonts w:eastAsia="MS Mincho"/>
      <w:sz w:val="24"/>
      <w:szCs w:val="24"/>
      <w:lang w:eastAsia="ja-JP"/>
    </w:rPr>
  </w:style>
  <w:style w:type="paragraph" w:styleId="17">
    <w:name w:val="Body Text 3"/>
    <w:basedOn w:val="1"/>
    <w:link w:val="114"/>
    <w:qFormat/>
    <w:uiPriority w:val="0"/>
    <w:pPr>
      <w:autoSpaceDE w:val="0"/>
      <w:autoSpaceDN w:val="0"/>
      <w:adjustRightInd w:val="0"/>
      <w:jc w:val="left"/>
    </w:pPr>
    <w:rPr>
      <w:rFonts w:eastAsia="MS Mincho"/>
      <w:sz w:val="16"/>
      <w:szCs w:val="16"/>
      <w:lang w:eastAsia="ja-JP"/>
    </w:rPr>
  </w:style>
  <w:style w:type="paragraph" w:styleId="18">
    <w:name w:val="Closing"/>
    <w:basedOn w:val="1"/>
    <w:link w:val="106"/>
    <w:qFormat/>
    <w:uiPriority w:val="0"/>
    <w:pPr>
      <w:autoSpaceDE w:val="0"/>
      <w:autoSpaceDN w:val="0"/>
      <w:adjustRightInd w:val="0"/>
      <w:jc w:val="right"/>
    </w:pPr>
    <w:rPr>
      <w:rFonts w:eastAsia="MS Mincho"/>
      <w:sz w:val="24"/>
      <w:szCs w:val="24"/>
      <w:lang w:eastAsia="ja-JP"/>
    </w:rPr>
  </w:style>
  <w:style w:type="paragraph" w:styleId="19">
    <w:name w:val="Body Text"/>
    <w:basedOn w:val="1"/>
    <w:link w:val="81"/>
    <w:qFormat/>
    <w:uiPriority w:val="0"/>
    <w:pPr>
      <w:spacing w:after="120"/>
    </w:pPr>
  </w:style>
  <w:style w:type="paragraph" w:styleId="20">
    <w:name w:val="Body Text Indent"/>
    <w:basedOn w:val="1"/>
    <w:link w:val="116"/>
    <w:qFormat/>
    <w:uiPriority w:val="0"/>
    <w:pPr>
      <w:autoSpaceDE w:val="0"/>
      <w:autoSpaceDN w:val="0"/>
      <w:adjustRightInd w:val="0"/>
      <w:ind w:left="851" w:leftChars="400"/>
      <w:jc w:val="left"/>
    </w:pPr>
    <w:rPr>
      <w:rFonts w:ascii="Times New Roman" w:hAnsi="Times New Roman" w:eastAsia="MS Mincho"/>
      <w:kern w:val="0"/>
      <w:sz w:val="24"/>
      <w:szCs w:val="24"/>
      <w:lang w:val="en-GB" w:eastAsia="ja-JP"/>
    </w:rPr>
  </w:style>
  <w:style w:type="paragraph" w:styleId="21">
    <w:name w:val="HTML Address"/>
    <w:basedOn w:val="1"/>
    <w:link w:val="97"/>
    <w:qFormat/>
    <w:uiPriority w:val="0"/>
    <w:pPr>
      <w:autoSpaceDE w:val="0"/>
      <w:autoSpaceDN w:val="0"/>
      <w:adjustRightInd w:val="0"/>
      <w:jc w:val="left"/>
    </w:pPr>
    <w:rPr>
      <w:rFonts w:eastAsia="MS Mincho"/>
      <w:i/>
      <w:iCs/>
      <w:sz w:val="24"/>
      <w:szCs w:val="24"/>
      <w:lang w:eastAsia="ja-JP"/>
    </w:rPr>
  </w:style>
  <w:style w:type="paragraph" w:styleId="22">
    <w:name w:val="toc 5"/>
    <w:basedOn w:val="1"/>
    <w:next w:val="1"/>
    <w:unhideWhenUsed/>
    <w:qFormat/>
    <w:uiPriority w:val="39"/>
    <w:pPr>
      <w:ind w:left="1680" w:leftChars="800"/>
    </w:pPr>
    <w:rPr>
      <w:szCs w:val="22"/>
    </w:rPr>
  </w:style>
  <w:style w:type="paragraph" w:styleId="23">
    <w:name w:val="toc 3"/>
    <w:basedOn w:val="1"/>
    <w:next w:val="1"/>
    <w:unhideWhenUsed/>
    <w:qFormat/>
    <w:uiPriority w:val="39"/>
    <w:pPr>
      <w:widowControl/>
      <w:tabs>
        <w:tab w:val="right" w:pos="4887"/>
      </w:tabs>
      <w:jc w:val="left"/>
    </w:pPr>
    <w:rPr>
      <w:kern w:val="0"/>
      <w:sz w:val="22"/>
    </w:rPr>
  </w:style>
  <w:style w:type="paragraph" w:styleId="24">
    <w:name w:val="Plain Text"/>
    <w:basedOn w:val="1"/>
    <w:link w:val="76"/>
    <w:qFormat/>
    <w:uiPriority w:val="0"/>
    <w:rPr>
      <w:rFonts w:ascii="宋体" w:hAnsi="Courier New"/>
      <w:szCs w:val="20"/>
    </w:rPr>
  </w:style>
  <w:style w:type="paragraph" w:styleId="25">
    <w:name w:val="toc 8"/>
    <w:basedOn w:val="1"/>
    <w:next w:val="1"/>
    <w:unhideWhenUsed/>
    <w:qFormat/>
    <w:uiPriority w:val="39"/>
    <w:pPr>
      <w:ind w:left="2940" w:leftChars="1400"/>
    </w:pPr>
    <w:rPr>
      <w:szCs w:val="22"/>
    </w:rPr>
  </w:style>
  <w:style w:type="paragraph" w:styleId="26">
    <w:name w:val="Date"/>
    <w:basedOn w:val="1"/>
    <w:next w:val="1"/>
    <w:link w:val="78"/>
    <w:qFormat/>
    <w:uiPriority w:val="99"/>
    <w:pPr>
      <w:ind w:left="100" w:leftChars="2500"/>
    </w:pPr>
  </w:style>
  <w:style w:type="paragraph" w:styleId="27">
    <w:name w:val="Body Text Indent 2"/>
    <w:basedOn w:val="1"/>
    <w:link w:val="117"/>
    <w:qFormat/>
    <w:uiPriority w:val="0"/>
    <w:pPr>
      <w:autoSpaceDE w:val="0"/>
      <w:autoSpaceDN w:val="0"/>
      <w:adjustRightInd w:val="0"/>
      <w:spacing w:line="480" w:lineRule="auto"/>
      <w:ind w:left="851" w:leftChars="400"/>
      <w:jc w:val="left"/>
    </w:pPr>
    <w:rPr>
      <w:rFonts w:ascii="Times New Roman" w:hAnsi="Times New Roman" w:eastAsia="MS Mincho"/>
      <w:kern w:val="0"/>
      <w:sz w:val="24"/>
      <w:szCs w:val="24"/>
      <w:lang w:val="en-GB" w:eastAsia="ja-JP"/>
    </w:rPr>
  </w:style>
  <w:style w:type="paragraph" w:styleId="28">
    <w:name w:val="endnote text"/>
    <w:basedOn w:val="1"/>
    <w:link w:val="142"/>
    <w:semiHidden/>
    <w:unhideWhenUsed/>
    <w:qFormat/>
    <w:uiPriority w:val="99"/>
    <w:pPr>
      <w:snapToGrid w:val="0"/>
      <w:jc w:val="left"/>
    </w:pPr>
  </w:style>
  <w:style w:type="paragraph" w:styleId="29">
    <w:name w:val="Balloon Text"/>
    <w:basedOn w:val="1"/>
    <w:link w:val="75"/>
    <w:semiHidden/>
    <w:unhideWhenUsed/>
    <w:qFormat/>
    <w:uiPriority w:val="99"/>
    <w:rPr>
      <w:sz w:val="18"/>
      <w:szCs w:val="18"/>
    </w:rPr>
  </w:style>
  <w:style w:type="paragraph" w:styleId="30">
    <w:name w:val="footer"/>
    <w:basedOn w:val="1"/>
    <w:link w:val="74"/>
    <w:unhideWhenUsed/>
    <w:qFormat/>
    <w:uiPriority w:val="99"/>
    <w:pPr>
      <w:tabs>
        <w:tab w:val="center" w:pos="4153"/>
        <w:tab w:val="right" w:pos="8306"/>
      </w:tabs>
      <w:snapToGrid w:val="0"/>
      <w:jc w:val="left"/>
    </w:pPr>
    <w:rPr>
      <w:sz w:val="18"/>
      <w:szCs w:val="18"/>
    </w:rPr>
  </w:style>
  <w:style w:type="paragraph" w:styleId="31">
    <w:name w:val="header"/>
    <w:basedOn w:val="1"/>
    <w:link w:val="73"/>
    <w:unhideWhenUsed/>
    <w:qFormat/>
    <w:uiPriority w:val="99"/>
    <w:pPr>
      <w:pBdr>
        <w:bottom w:val="single" w:color="auto" w:sz="6" w:space="1"/>
      </w:pBdr>
      <w:tabs>
        <w:tab w:val="center" w:pos="4153"/>
        <w:tab w:val="right" w:pos="8306"/>
      </w:tabs>
      <w:snapToGrid w:val="0"/>
      <w:jc w:val="center"/>
    </w:pPr>
    <w:rPr>
      <w:sz w:val="18"/>
      <w:szCs w:val="18"/>
    </w:rPr>
  </w:style>
  <w:style w:type="paragraph" w:styleId="32">
    <w:name w:val="Signature"/>
    <w:basedOn w:val="1"/>
    <w:link w:val="108"/>
    <w:qFormat/>
    <w:uiPriority w:val="0"/>
    <w:pPr>
      <w:autoSpaceDE w:val="0"/>
      <w:autoSpaceDN w:val="0"/>
      <w:adjustRightInd w:val="0"/>
      <w:jc w:val="right"/>
    </w:pPr>
    <w:rPr>
      <w:rFonts w:eastAsia="MS Mincho"/>
      <w:sz w:val="24"/>
      <w:szCs w:val="24"/>
      <w:lang w:eastAsia="ja-JP"/>
    </w:rPr>
  </w:style>
  <w:style w:type="paragraph" w:styleId="33">
    <w:name w:val="toc 1"/>
    <w:basedOn w:val="1"/>
    <w:next w:val="1"/>
    <w:qFormat/>
    <w:uiPriority w:val="39"/>
    <w:rPr>
      <w:b/>
      <w:sz w:val="24"/>
      <w:szCs w:val="24"/>
    </w:rPr>
  </w:style>
  <w:style w:type="paragraph" w:styleId="34">
    <w:name w:val="toc 4"/>
    <w:basedOn w:val="1"/>
    <w:next w:val="1"/>
    <w:unhideWhenUsed/>
    <w:qFormat/>
    <w:uiPriority w:val="39"/>
    <w:pPr>
      <w:ind w:left="1260" w:leftChars="600"/>
    </w:pPr>
    <w:rPr>
      <w:szCs w:val="22"/>
    </w:rPr>
  </w:style>
  <w:style w:type="paragraph" w:styleId="35">
    <w:name w:val="index heading"/>
    <w:basedOn w:val="1"/>
    <w:next w:val="36"/>
    <w:semiHidden/>
    <w:qFormat/>
    <w:uiPriority w:val="0"/>
    <w:pPr>
      <w:autoSpaceDE w:val="0"/>
      <w:autoSpaceDN w:val="0"/>
      <w:adjustRightInd w:val="0"/>
      <w:jc w:val="left"/>
    </w:pPr>
    <w:rPr>
      <w:rFonts w:ascii="Arial" w:hAnsi="Arial" w:eastAsia="MS Mincho" w:cs="Arial"/>
      <w:b/>
      <w:bCs/>
      <w:kern w:val="0"/>
      <w:sz w:val="24"/>
      <w:szCs w:val="24"/>
      <w:lang w:val="en-GB" w:eastAsia="ja-JP"/>
    </w:rPr>
  </w:style>
  <w:style w:type="paragraph" w:styleId="36">
    <w:name w:val="index 1"/>
    <w:basedOn w:val="1"/>
    <w:next w:val="1"/>
    <w:semiHidden/>
    <w:qFormat/>
    <w:uiPriority w:val="0"/>
  </w:style>
  <w:style w:type="paragraph" w:styleId="37">
    <w:name w:val="Subtitle"/>
    <w:basedOn w:val="1"/>
    <w:link w:val="113"/>
    <w:qFormat/>
    <w:uiPriority w:val="0"/>
    <w:pPr>
      <w:autoSpaceDE w:val="0"/>
      <w:autoSpaceDN w:val="0"/>
      <w:adjustRightInd w:val="0"/>
      <w:jc w:val="center"/>
      <w:outlineLvl w:val="1"/>
    </w:pPr>
    <w:rPr>
      <w:rFonts w:ascii="Arial" w:hAnsi="Arial" w:eastAsia="MS Gothic" w:cs="Arial"/>
      <w:kern w:val="0"/>
      <w:sz w:val="24"/>
      <w:szCs w:val="24"/>
      <w:lang w:val="en-GB" w:eastAsia="ja-JP"/>
    </w:rPr>
  </w:style>
  <w:style w:type="paragraph" w:styleId="38">
    <w:name w:val="List Number 5"/>
    <w:basedOn w:val="1"/>
    <w:qFormat/>
    <w:uiPriority w:val="0"/>
    <w:pPr>
      <w:numPr>
        <w:ilvl w:val="0"/>
        <w:numId w:val="1"/>
      </w:numPr>
      <w:autoSpaceDE w:val="0"/>
      <w:autoSpaceDN w:val="0"/>
      <w:adjustRightInd w:val="0"/>
      <w:jc w:val="left"/>
    </w:pPr>
    <w:rPr>
      <w:rFonts w:ascii="Times New Roman" w:hAnsi="Times New Roman" w:eastAsia="MS Mincho"/>
      <w:kern w:val="0"/>
      <w:sz w:val="24"/>
      <w:szCs w:val="24"/>
      <w:lang w:val="en-GB" w:eastAsia="ja-JP"/>
    </w:rPr>
  </w:style>
  <w:style w:type="paragraph" w:styleId="39">
    <w:name w:val="footnote text"/>
    <w:basedOn w:val="1"/>
    <w:link w:val="70"/>
    <w:qFormat/>
    <w:uiPriority w:val="0"/>
    <w:pPr>
      <w:snapToGrid w:val="0"/>
      <w:jc w:val="left"/>
    </w:pPr>
    <w:rPr>
      <w:sz w:val="18"/>
      <w:szCs w:val="18"/>
    </w:rPr>
  </w:style>
  <w:style w:type="paragraph" w:styleId="40">
    <w:name w:val="toc 6"/>
    <w:basedOn w:val="1"/>
    <w:next w:val="1"/>
    <w:unhideWhenUsed/>
    <w:qFormat/>
    <w:uiPriority w:val="39"/>
    <w:pPr>
      <w:ind w:left="2100" w:leftChars="1000"/>
    </w:pPr>
    <w:rPr>
      <w:szCs w:val="22"/>
    </w:rPr>
  </w:style>
  <w:style w:type="paragraph" w:styleId="41">
    <w:name w:val="Body Text Indent 3"/>
    <w:basedOn w:val="1"/>
    <w:link w:val="118"/>
    <w:qFormat/>
    <w:uiPriority w:val="0"/>
    <w:pPr>
      <w:autoSpaceDE w:val="0"/>
      <w:autoSpaceDN w:val="0"/>
      <w:adjustRightInd w:val="0"/>
      <w:ind w:left="851" w:leftChars="400"/>
      <w:jc w:val="left"/>
    </w:pPr>
    <w:rPr>
      <w:rFonts w:ascii="Times New Roman" w:hAnsi="Times New Roman" w:eastAsia="MS Mincho"/>
      <w:kern w:val="0"/>
      <w:sz w:val="16"/>
      <w:szCs w:val="16"/>
      <w:lang w:val="en-GB" w:eastAsia="ja-JP"/>
    </w:rPr>
  </w:style>
  <w:style w:type="paragraph" w:styleId="42">
    <w:name w:val="toc 2"/>
    <w:basedOn w:val="1"/>
    <w:next w:val="1"/>
    <w:unhideWhenUsed/>
    <w:qFormat/>
    <w:uiPriority w:val="39"/>
    <w:pPr>
      <w:widowControl/>
      <w:spacing w:after="100" w:line="276" w:lineRule="auto"/>
      <w:ind w:left="220"/>
      <w:jc w:val="left"/>
    </w:pPr>
    <w:rPr>
      <w:kern w:val="0"/>
      <w:sz w:val="22"/>
      <w:lang w:val="zh-CN"/>
    </w:rPr>
  </w:style>
  <w:style w:type="paragraph" w:styleId="43">
    <w:name w:val="toc 9"/>
    <w:basedOn w:val="1"/>
    <w:next w:val="1"/>
    <w:unhideWhenUsed/>
    <w:qFormat/>
    <w:uiPriority w:val="39"/>
    <w:pPr>
      <w:ind w:left="3360" w:leftChars="1600"/>
    </w:pPr>
    <w:rPr>
      <w:szCs w:val="22"/>
    </w:rPr>
  </w:style>
  <w:style w:type="paragraph" w:styleId="44">
    <w:name w:val="Body Text 2"/>
    <w:basedOn w:val="1"/>
    <w:link w:val="80"/>
    <w:qFormat/>
    <w:uiPriority w:val="0"/>
    <w:pPr>
      <w:autoSpaceDE w:val="0"/>
      <w:autoSpaceDN w:val="0"/>
      <w:adjustRightInd w:val="0"/>
      <w:spacing w:line="480" w:lineRule="auto"/>
      <w:jc w:val="left"/>
    </w:pPr>
    <w:rPr>
      <w:rFonts w:ascii="Times New Roman" w:hAnsi="Times New Roman" w:eastAsia="MS Mincho"/>
      <w:kern w:val="0"/>
      <w:sz w:val="24"/>
      <w:szCs w:val="24"/>
      <w:lang w:val="en-GB" w:eastAsia="ja-JP"/>
    </w:rPr>
  </w:style>
  <w:style w:type="paragraph" w:styleId="45">
    <w:name w:val="Message Header"/>
    <w:basedOn w:val="1"/>
    <w:link w:val="101"/>
    <w:qFormat/>
    <w:uiPriority w:val="0"/>
    <w:pPr>
      <w:pBdr>
        <w:top w:val="single" w:color="auto" w:sz="6" w:space="1"/>
        <w:left w:val="single" w:color="auto" w:sz="6" w:space="1"/>
        <w:bottom w:val="single" w:color="auto" w:sz="6" w:space="1"/>
        <w:right w:val="single" w:color="auto" w:sz="6" w:space="1"/>
      </w:pBdr>
      <w:shd w:val="pct20" w:color="auto" w:fill="auto"/>
      <w:autoSpaceDE w:val="0"/>
      <w:autoSpaceDN w:val="0"/>
      <w:adjustRightInd w:val="0"/>
      <w:ind w:left="960" w:hanging="960" w:hangingChars="400"/>
      <w:jc w:val="left"/>
    </w:pPr>
    <w:rPr>
      <w:rFonts w:ascii="Arial" w:hAnsi="Arial" w:eastAsia="MS Mincho"/>
      <w:sz w:val="24"/>
      <w:szCs w:val="24"/>
      <w:shd w:val="pct20" w:color="auto" w:fill="auto"/>
      <w:lang w:eastAsia="ja-JP"/>
    </w:rPr>
  </w:style>
  <w:style w:type="paragraph" w:styleId="46">
    <w:name w:val="HTML Preformatted"/>
    <w:basedOn w:val="1"/>
    <w:link w:val="99"/>
    <w:qFormat/>
    <w:uiPriority w:val="0"/>
    <w:pPr>
      <w:autoSpaceDE w:val="0"/>
      <w:autoSpaceDN w:val="0"/>
      <w:adjustRightInd w:val="0"/>
      <w:jc w:val="left"/>
    </w:pPr>
    <w:rPr>
      <w:rFonts w:ascii="Courier New" w:hAnsi="Courier New" w:eastAsia="MS Mincho"/>
      <w:lang w:eastAsia="ja-JP"/>
    </w:rPr>
  </w:style>
  <w:style w:type="paragraph" w:styleId="47">
    <w:name w:val="Normal (Web)"/>
    <w:basedOn w:val="1"/>
    <w:qFormat/>
    <w:uiPriority w:val="99"/>
    <w:pPr>
      <w:widowControl/>
      <w:jc w:val="left"/>
    </w:pPr>
    <w:rPr>
      <w:rFonts w:ascii="宋体" w:hAnsi="宋体" w:cs="宋体"/>
      <w:kern w:val="0"/>
      <w:sz w:val="24"/>
      <w:szCs w:val="24"/>
    </w:rPr>
  </w:style>
  <w:style w:type="paragraph" w:styleId="48">
    <w:name w:val="Title"/>
    <w:basedOn w:val="1"/>
    <w:link w:val="112"/>
    <w:qFormat/>
    <w:uiPriority w:val="10"/>
    <w:pPr>
      <w:autoSpaceDE w:val="0"/>
      <w:autoSpaceDN w:val="0"/>
      <w:adjustRightInd w:val="0"/>
      <w:spacing w:before="240" w:after="120"/>
      <w:jc w:val="center"/>
      <w:outlineLvl w:val="0"/>
    </w:pPr>
    <w:rPr>
      <w:rFonts w:ascii="Arial" w:hAnsi="Arial" w:eastAsia="MS Gothic" w:cs="Arial"/>
      <w:kern w:val="0"/>
      <w:sz w:val="32"/>
      <w:szCs w:val="32"/>
      <w:lang w:val="en-GB" w:eastAsia="ja-JP"/>
    </w:rPr>
  </w:style>
  <w:style w:type="paragraph" w:styleId="49">
    <w:name w:val="annotation subject"/>
    <w:basedOn w:val="15"/>
    <w:next w:val="15"/>
    <w:link w:val="130"/>
    <w:semiHidden/>
    <w:qFormat/>
    <w:uiPriority w:val="0"/>
    <w:rPr>
      <w:b/>
      <w:bCs/>
    </w:rPr>
  </w:style>
  <w:style w:type="paragraph" w:styleId="50">
    <w:name w:val="Body Text First Indent"/>
    <w:basedOn w:val="19"/>
    <w:link w:val="119"/>
    <w:qFormat/>
    <w:uiPriority w:val="0"/>
    <w:pPr>
      <w:autoSpaceDE w:val="0"/>
      <w:autoSpaceDN w:val="0"/>
      <w:adjustRightInd w:val="0"/>
      <w:spacing w:after="0"/>
      <w:ind w:firstLine="210" w:firstLineChars="100"/>
      <w:jc w:val="left"/>
    </w:pPr>
  </w:style>
  <w:style w:type="paragraph" w:styleId="51">
    <w:name w:val="Body Text First Indent 2"/>
    <w:basedOn w:val="20"/>
    <w:link w:val="121"/>
    <w:qFormat/>
    <w:uiPriority w:val="0"/>
    <w:pPr>
      <w:ind w:firstLine="210" w:firstLineChars="100"/>
    </w:pPr>
  </w:style>
  <w:style w:type="table" w:styleId="53">
    <w:name w:val="Table Grid"/>
    <w:basedOn w:val="5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rFonts w:cs="Times New Roman"/>
      <w:b/>
      <w:bCs/>
    </w:rPr>
  </w:style>
  <w:style w:type="character" w:styleId="56">
    <w:name w:val="page number"/>
    <w:basedOn w:val="54"/>
    <w:qFormat/>
    <w:uiPriority w:val="99"/>
  </w:style>
  <w:style w:type="character" w:styleId="57">
    <w:name w:val="Emphasis"/>
    <w:qFormat/>
    <w:uiPriority w:val="20"/>
    <w:rPr>
      <w:color w:val="DD4B39"/>
    </w:rPr>
  </w:style>
  <w:style w:type="character" w:styleId="58">
    <w:name w:val="Hyperlink"/>
    <w:qFormat/>
    <w:uiPriority w:val="99"/>
    <w:rPr>
      <w:color w:val="0000FF"/>
      <w:u w:val="single"/>
    </w:rPr>
  </w:style>
  <w:style w:type="character" w:styleId="59">
    <w:name w:val="annotation reference"/>
    <w:semiHidden/>
    <w:qFormat/>
    <w:uiPriority w:val="0"/>
    <w:rPr>
      <w:sz w:val="21"/>
      <w:szCs w:val="21"/>
    </w:rPr>
  </w:style>
  <w:style w:type="character" w:styleId="60">
    <w:name w:val="footnote reference"/>
    <w:basedOn w:val="54"/>
    <w:qFormat/>
    <w:uiPriority w:val="0"/>
    <w:rPr>
      <w:vertAlign w:val="superscript"/>
    </w:rPr>
  </w:style>
  <w:style w:type="character" w:customStyle="1" w:styleId="61">
    <w:name w:val="标题 1 Char"/>
    <w:basedOn w:val="54"/>
    <w:link w:val="2"/>
    <w:qFormat/>
    <w:uiPriority w:val="0"/>
    <w:rPr>
      <w:rFonts w:cs="Arial"/>
      <w:b/>
      <w:bCs/>
      <w:caps/>
      <w:kern w:val="32"/>
      <w:sz w:val="22"/>
      <w:szCs w:val="32"/>
      <w:lang w:val="en-GB"/>
    </w:rPr>
  </w:style>
  <w:style w:type="character" w:customStyle="1" w:styleId="62">
    <w:name w:val="标题 2 Char"/>
    <w:basedOn w:val="54"/>
    <w:link w:val="3"/>
    <w:qFormat/>
    <w:uiPriority w:val="0"/>
    <w:rPr>
      <w:rFonts w:cs="Arial"/>
      <w:b/>
      <w:bCs/>
      <w:caps/>
      <w:kern w:val="32"/>
      <w:sz w:val="22"/>
      <w:szCs w:val="32"/>
      <w:lang w:val="en-GB"/>
    </w:rPr>
  </w:style>
  <w:style w:type="character" w:customStyle="1" w:styleId="63">
    <w:name w:val="标题 3 Char"/>
    <w:basedOn w:val="54"/>
    <w:link w:val="4"/>
    <w:qFormat/>
    <w:uiPriority w:val="0"/>
    <w:rPr>
      <w:rFonts w:cs="Arial"/>
      <w:b/>
      <w:bCs/>
      <w:kern w:val="0"/>
      <w:sz w:val="22"/>
      <w:szCs w:val="26"/>
      <w:lang w:val="en-GB"/>
    </w:rPr>
  </w:style>
  <w:style w:type="character" w:customStyle="1" w:styleId="64">
    <w:name w:val="标题 4 Char"/>
    <w:basedOn w:val="54"/>
    <w:link w:val="5"/>
    <w:qFormat/>
    <w:uiPriority w:val="0"/>
    <w:rPr>
      <w:rFonts w:ascii="Arial" w:hAnsi="Arial" w:eastAsia="黑体"/>
      <w:b/>
      <w:bCs/>
      <w:sz w:val="28"/>
      <w:szCs w:val="28"/>
    </w:rPr>
  </w:style>
  <w:style w:type="character" w:customStyle="1" w:styleId="65">
    <w:name w:val="标题 5 Char"/>
    <w:basedOn w:val="54"/>
    <w:link w:val="6"/>
    <w:qFormat/>
    <w:uiPriority w:val="0"/>
    <w:rPr>
      <w:bCs/>
      <w:i/>
      <w:iCs/>
      <w:kern w:val="0"/>
      <w:sz w:val="22"/>
      <w:szCs w:val="26"/>
      <w:lang w:val="en-GB"/>
    </w:rPr>
  </w:style>
  <w:style w:type="character" w:customStyle="1" w:styleId="66">
    <w:name w:val="标题 6 Char"/>
    <w:basedOn w:val="54"/>
    <w:link w:val="7"/>
    <w:qFormat/>
    <w:uiPriority w:val="0"/>
    <w:rPr>
      <w:bCs/>
      <w:kern w:val="0"/>
      <w:sz w:val="22"/>
      <w:lang w:val="en-GB"/>
    </w:rPr>
  </w:style>
  <w:style w:type="character" w:customStyle="1" w:styleId="67">
    <w:name w:val="标题 7 Char"/>
    <w:basedOn w:val="54"/>
    <w:link w:val="8"/>
    <w:qFormat/>
    <w:uiPriority w:val="0"/>
    <w:rPr>
      <w:rFonts w:ascii="Times New Roman" w:hAnsi="Times New Roman" w:eastAsia="MS Mincho" w:cs="Times New Roman"/>
      <w:kern w:val="0"/>
      <w:sz w:val="24"/>
      <w:szCs w:val="24"/>
      <w:lang w:val="en-GB" w:eastAsia="ja-JP"/>
    </w:rPr>
  </w:style>
  <w:style w:type="character" w:customStyle="1" w:styleId="68">
    <w:name w:val="标题 8 Char"/>
    <w:basedOn w:val="54"/>
    <w:link w:val="9"/>
    <w:qFormat/>
    <w:uiPriority w:val="0"/>
    <w:rPr>
      <w:rFonts w:ascii="Times New Roman" w:hAnsi="Times New Roman" w:eastAsia="MS Mincho" w:cs="Times New Roman"/>
      <w:kern w:val="0"/>
      <w:sz w:val="24"/>
      <w:szCs w:val="24"/>
      <w:lang w:val="en-GB" w:eastAsia="ja-JP"/>
    </w:rPr>
  </w:style>
  <w:style w:type="character" w:customStyle="1" w:styleId="69">
    <w:name w:val="标题 9 Char"/>
    <w:basedOn w:val="54"/>
    <w:link w:val="10"/>
    <w:qFormat/>
    <w:uiPriority w:val="0"/>
    <w:rPr>
      <w:rFonts w:ascii="Times New Roman" w:hAnsi="Times New Roman" w:eastAsia="MS Mincho" w:cs="Times New Roman"/>
      <w:kern w:val="0"/>
      <w:sz w:val="24"/>
      <w:szCs w:val="24"/>
      <w:lang w:val="en-GB" w:eastAsia="ja-JP"/>
    </w:rPr>
  </w:style>
  <w:style w:type="character" w:customStyle="1" w:styleId="70">
    <w:name w:val="脚注文本 Char"/>
    <w:basedOn w:val="54"/>
    <w:link w:val="39"/>
    <w:qFormat/>
    <w:uiPriority w:val="99"/>
    <w:rPr>
      <w:rFonts w:ascii="Calibri" w:hAnsi="Calibri" w:eastAsia="宋体" w:cs="Times New Roman"/>
      <w:sz w:val="18"/>
      <w:szCs w:val="18"/>
    </w:rPr>
  </w:style>
  <w:style w:type="paragraph" w:customStyle="1" w:styleId="71">
    <w:name w:val="Default"/>
    <w:qFormat/>
    <w:uiPriority w:val="99"/>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styleId="72">
    <w:name w:val="List Paragraph"/>
    <w:basedOn w:val="1"/>
    <w:qFormat/>
    <w:uiPriority w:val="34"/>
    <w:pPr>
      <w:ind w:firstLine="420" w:firstLineChars="200"/>
    </w:pPr>
  </w:style>
  <w:style w:type="character" w:customStyle="1" w:styleId="73">
    <w:name w:val="页眉 Char"/>
    <w:basedOn w:val="54"/>
    <w:link w:val="31"/>
    <w:qFormat/>
    <w:uiPriority w:val="99"/>
    <w:rPr>
      <w:rFonts w:ascii="Calibri" w:hAnsi="Calibri" w:eastAsia="宋体" w:cs="Times New Roman"/>
      <w:sz w:val="18"/>
      <w:szCs w:val="18"/>
    </w:rPr>
  </w:style>
  <w:style w:type="character" w:customStyle="1" w:styleId="74">
    <w:name w:val="页脚 Char"/>
    <w:basedOn w:val="54"/>
    <w:link w:val="30"/>
    <w:qFormat/>
    <w:uiPriority w:val="99"/>
    <w:rPr>
      <w:rFonts w:ascii="Calibri" w:hAnsi="Calibri" w:eastAsia="宋体" w:cs="Times New Roman"/>
      <w:sz w:val="18"/>
      <w:szCs w:val="18"/>
    </w:rPr>
  </w:style>
  <w:style w:type="character" w:customStyle="1" w:styleId="75">
    <w:name w:val="批注框文本 Char"/>
    <w:basedOn w:val="54"/>
    <w:link w:val="29"/>
    <w:semiHidden/>
    <w:qFormat/>
    <w:uiPriority w:val="99"/>
    <w:rPr>
      <w:rFonts w:ascii="Calibri" w:hAnsi="Calibri" w:eastAsia="宋体" w:cs="Times New Roman"/>
      <w:sz w:val="18"/>
      <w:szCs w:val="18"/>
    </w:rPr>
  </w:style>
  <w:style w:type="character" w:customStyle="1" w:styleId="76">
    <w:name w:val="纯文本 Char"/>
    <w:basedOn w:val="54"/>
    <w:link w:val="24"/>
    <w:qFormat/>
    <w:uiPriority w:val="0"/>
    <w:rPr>
      <w:rFonts w:ascii="宋体" w:hAnsi="Courier New" w:eastAsia="宋体" w:cs="Times New Roman"/>
      <w:szCs w:val="20"/>
    </w:rPr>
  </w:style>
  <w:style w:type="character" w:customStyle="1" w:styleId="77">
    <w:name w:val="short_text"/>
    <w:basedOn w:val="54"/>
    <w:qFormat/>
    <w:uiPriority w:val="0"/>
  </w:style>
  <w:style w:type="character" w:customStyle="1" w:styleId="78">
    <w:name w:val="日期 Char"/>
    <w:basedOn w:val="54"/>
    <w:link w:val="26"/>
    <w:qFormat/>
    <w:uiPriority w:val="99"/>
    <w:rPr>
      <w:rFonts w:ascii="Calibri" w:hAnsi="Calibri" w:eastAsia="宋体" w:cs="Times New Roman"/>
    </w:rPr>
  </w:style>
  <w:style w:type="paragraph" w:customStyle="1" w:styleId="79">
    <w:name w:val="Note"/>
    <w:basedOn w:val="1"/>
    <w:next w:val="1"/>
    <w:qFormat/>
    <w:uiPriority w:val="0"/>
    <w:pPr>
      <w:widowControl/>
      <w:tabs>
        <w:tab w:val="left" w:pos="960"/>
      </w:tabs>
      <w:spacing w:after="240" w:line="210" w:lineRule="atLeast"/>
    </w:pPr>
    <w:rPr>
      <w:rFonts w:ascii="Arial" w:hAnsi="Arial" w:eastAsia="MS Mincho"/>
      <w:kern w:val="0"/>
      <w:sz w:val="18"/>
      <w:szCs w:val="20"/>
      <w:lang w:val="en-GB" w:eastAsia="ja-JP"/>
    </w:rPr>
  </w:style>
  <w:style w:type="character" w:customStyle="1" w:styleId="80">
    <w:name w:val="正文文本 2 Char"/>
    <w:basedOn w:val="54"/>
    <w:link w:val="44"/>
    <w:qFormat/>
    <w:uiPriority w:val="0"/>
    <w:rPr>
      <w:rFonts w:ascii="Times New Roman" w:hAnsi="Times New Roman" w:eastAsia="MS Mincho" w:cs="Times New Roman"/>
      <w:kern w:val="0"/>
      <w:sz w:val="24"/>
      <w:szCs w:val="24"/>
      <w:lang w:val="en-GB" w:eastAsia="ja-JP"/>
    </w:rPr>
  </w:style>
  <w:style w:type="character" w:customStyle="1" w:styleId="81">
    <w:name w:val="正文文本 Char"/>
    <w:basedOn w:val="54"/>
    <w:link w:val="19"/>
    <w:qFormat/>
    <w:uiPriority w:val="0"/>
    <w:rPr>
      <w:rFonts w:ascii="Calibri" w:hAnsi="Calibri" w:eastAsia="宋体" w:cs="Times New Roman"/>
    </w:rPr>
  </w:style>
  <w:style w:type="paragraph" w:customStyle="1" w:styleId="82">
    <w:name w:val="Char Char Char"/>
    <w:basedOn w:val="1"/>
    <w:qFormat/>
    <w:uiPriority w:val="0"/>
    <w:pPr>
      <w:widowControl/>
      <w:spacing w:after="200" w:line="276" w:lineRule="auto"/>
      <w:jc w:val="left"/>
    </w:pPr>
    <w:rPr>
      <w:rFonts w:eastAsia="Times New Roman"/>
      <w:kern w:val="0"/>
      <w:sz w:val="22"/>
      <w:lang w:val="pl-PL" w:eastAsia="pl-PL"/>
    </w:rPr>
  </w:style>
  <w:style w:type="character" w:customStyle="1" w:styleId="83">
    <w:name w:val="Char Char22"/>
    <w:qFormat/>
    <w:locked/>
    <w:uiPriority w:val="0"/>
    <w:rPr>
      <w:rFonts w:ascii="Arial" w:hAnsi="Arial"/>
      <w:sz w:val="22"/>
      <w:szCs w:val="24"/>
    </w:rPr>
  </w:style>
  <w:style w:type="character" w:customStyle="1" w:styleId="84">
    <w:name w:val="Char Char21"/>
    <w:qFormat/>
    <w:locked/>
    <w:uiPriority w:val="0"/>
    <w:rPr>
      <w:rFonts w:ascii="Arial" w:hAnsi="Arial"/>
      <w:sz w:val="18"/>
      <w:szCs w:val="24"/>
    </w:rPr>
  </w:style>
  <w:style w:type="paragraph" w:customStyle="1" w:styleId="85">
    <w:name w:val="Footnote"/>
    <w:basedOn w:val="1"/>
    <w:next w:val="39"/>
    <w:qFormat/>
    <w:uiPriority w:val="0"/>
    <w:pPr>
      <w:widowControl/>
      <w:spacing w:after="200" w:line="276" w:lineRule="auto"/>
      <w:ind w:left="567" w:hanging="567"/>
      <w:jc w:val="left"/>
    </w:pPr>
    <w:rPr>
      <w:kern w:val="0"/>
      <w:sz w:val="18"/>
      <w:lang w:val="en-GB"/>
    </w:rPr>
  </w:style>
  <w:style w:type="paragraph" w:customStyle="1" w:styleId="86">
    <w:name w:val="CM22"/>
    <w:basedOn w:val="71"/>
    <w:next w:val="71"/>
    <w:qFormat/>
    <w:uiPriority w:val="0"/>
    <w:rPr>
      <w:rFonts w:ascii="D Y 1+ ZMFDMB" w:hAnsi="Calibri" w:eastAsia="D Y 1+ ZMFDMB" w:cs="Times New Roman"/>
      <w:color w:val="auto"/>
      <w:lang w:val="en-GB"/>
    </w:rPr>
  </w:style>
  <w:style w:type="paragraph" w:customStyle="1" w:styleId="87">
    <w:name w:val="CM23"/>
    <w:basedOn w:val="71"/>
    <w:next w:val="71"/>
    <w:qFormat/>
    <w:uiPriority w:val="0"/>
    <w:rPr>
      <w:rFonts w:ascii="D Y 1+ ZMFDMB" w:hAnsi="Calibri" w:eastAsia="D Y 1+ ZMFDMB" w:cs="Times New Roman"/>
      <w:color w:val="auto"/>
      <w:lang w:val="en-GB"/>
    </w:rPr>
  </w:style>
  <w:style w:type="paragraph" w:customStyle="1" w:styleId="88">
    <w:name w:val="CM24"/>
    <w:basedOn w:val="71"/>
    <w:next w:val="71"/>
    <w:qFormat/>
    <w:uiPriority w:val="0"/>
    <w:rPr>
      <w:rFonts w:ascii="D Y 1+ ZMFDMB" w:hAnsi="Calibri" w:eastAsia="D Y 1+ ZMFDMB" w:cs="Times New Roman"/>
      <w:color w:val="auto"/>
      <w:lang w:val="en-GB"/>
    </w:rPr>
  </w:style>
  <w:style w:type="paragraph" w:customStyle="1" w:styleId="89">
    <w:name w:val="CM5"/>
    <w:basedOn w:val="71"/>
    <w:next w:val="71"/>
    <w:qFormat/>
    <w:uiPriority w:val="0"/>
    <w:pPr>
      <w:spacing w:line="316" w:lineRule="atLeast"/>
    </w:pPr>
    <w:rPr>
      <w:rFonts w:ascii="D Y 1+ ZMFDMB" w:hAnsi="Calibri" w:eastAsia="D Y 1+ ZMFDMB" w:cs="Times New Roman"/>
      <w:color w:val="auto"/>
      <w:lang w:val="en-GB"/>
    </w:rPr>
  </w:style>
  <w:style w:type="paragraph" w:customStyle="1" w:styleId="90">
    <w:name w:val="CM6"/>
    <w:basedOn w:val="71"/>
    <w:next w:val="71"/>
    <w:qFormat/>
    <w:uiPriority w:val="0"/>
    <w:pPr>
      <w:spacing w:line="316" w:lineRule="atLeast"/>
    </w:pPr>
    <w:rPr>
      <w:rFonts w:ascii="D Y 1+ ZMFDMB" w:hAnsi="Calibri" w:eastAsia="D Y 1+ ZMFDMB" w:cs="Times New Roman"/>
      <w:color w:val="auto"/>
      <w:lang w:val="en-GB"/>
    </w:rPr>
  </w:style>
  <w:style w:type="paragraph" w:customStyle="1" w:styleId="91">
    <w:name w:val="CM8"/>
    <w:basedOn w:val="71"/>
    <w:next w:val="71"/>
    <w:qFormat/>
    <w:uiPriority w:val="0"/>
    <w:pPr>
      <w:spacing w:line="316" w:lineRule="atLeast"/>
    </w:pPr>
    <w:rPr>
      <w:rFonts w:ascii="D Y 1+ ZMFDMB" w:hAnsi="Calibri" w:eastAsia="D Y 1+ ZMFDMB" w:cs="Times New Roman"/>
      <w:color w:val="auto"/>
      <w:lang w:val="en-GB"/>
    </w:rPr>
  </w:style>
  <w:style w:type="paragraph" w:customStyle="1" w:styleId="92">
    <w:name w:val="CM15"/>
    <w:basedOn w:val="71"/>
    <w:next w:val="71"/>
    <w:qFormat/>
    <w:uiPriority w:val="0"/>
    <w:pPr>
      <w:spacing w:line="316" w:lineRule="atLeast"/>
    </w:pPr>
    <w:rPr>
      <w:rFonts w:ascii="D Y 1+ ZMFDMB" w:hAnsi="Calibri" w:eastAsia="D Y 1+ ZMFDMB" w:cs="Times New Roman"/>
      <w:color w:val="auto"/>
      <w:lang w:val="en-GB"/>
    </w:rPr>
  </w:style>
  <w:style w:type="paragraph" w:customStyle="1" w:styleId="93">
    <w:name w:val="CM16"/>
    <w:basedOn w:val="71"/>
    <w:next w:val="71"/>
    <w:qFormat/>
    <w:uiPriority w:val="0"/>
    <w:pPr>
      <w:spacing w:line="316" w:lineRule="atLeast"/>
    </w:pPr>
    <w:rPr>
      <w:rFonts w:ascii="D Y 1+ ZMFDMB" w:hAnsi="Calibri" w:eastAsia="D Y 1+ ZMFDMB" w:cs="Times New Roman"/>
      <w:color w:val="auto"/>
      <w:lang w:val="en-GB"/>
    </w:rPr>
  </w:style>
  <w:style w:type="paragraph" w:customStyle="1" w:styleId="94">
    <w:name w:val="CM26"/>
    <w:basedOn w:val="71"/>
    <w:next w:val="71"/>
    <w:qFormat/>
    <w:uiPriority w:val="0"/>
    <w:rPr>
      <w:rFonts w:ascii="D Y 1+ ZMFDMB" w:hAnsi="Calibri" w:eastAsia="D Y 1+ ZMFDMB" w:cs="Times New Roman"/>
      <w:color w:val="auto"/>
      <w:lang w:val="en-GB"/>
    </w:rPr>
  </w:style>
  <w:style w:type="character" w:customStyle="1" w:styleId="95">
    <w:name w:val="文档结构图 Char"/>
    <w:link w:val="14"/>
    <w:semiHidden/>
    <w:qFormat/>
    <w:uiPriority w:val="0"/>
    <w:rPr>
      <w:rFonts w:ascii="宋体" w:hAnsi="Calibri"/>
      <w:sz w:val="18"/>
      <w:szCs w:val="18"/>
    </w:rPr>
  </w:style>
  <w:style w:type="character" w:customStyle="1" w:styleId="96">
    <w:name w:val="文档结构图 Char1"/>
    <w:basedOn w:val="54"/>
    <w:semiHidden/>
    <w:qFormat/>
    <w:uiPriority w:val="99"/>
    <w:rPr>
      <w:rFonts w:ascii="宋体" w:hAnsi="Calibri" w:eastAsia="宋体" w:cs="Times New Roman"/>
      <w:sz w:val="18"/>
      <w:szCs w:val="18"/>
    </w:rPr>
  </w:style>
  <w:style w:type="character" w:customStyle="1" w:styleId="97">
    <w:name w:val="HTML 地址 Char"/>
    <w:link w:val="21"/>
    <w:qFormat/>
    <w:uiPriority w:val="0"/>
    <w:rPr>
      <w:rFonts w:eastAsia="MS Mincho"/>
      <w:i/>
      <w:iCs/>
      <w:sz w:val="24"/>
      <w:szCs w:val="24"/>
      <w:lang w:eastAsia="ja-JP"/>
    </w:rPr>
  </w:style>
  <w:style w:type="character" w:customStyle="1" w:styleId="98">
    <w:name w:val="HTML 地址 Char1"/>
    <w:basedOn w:val="54"/>
    <w:semiHidden/>
    <w:qFormat/>
    <w:uiPriority w:val="99"/>
    <w:rPr>
      <w:rFonts w:ascii="Calibri" w:hAnsi="Calibri" w:eastAsia="宋体" w:cs="Times New Roman"/>
      <w:i/>
      <w:iCs/>
    </w:rPr>
  </w:style>
  <w:style w:type="character" w:customStyle="1" w:styleId="99">
    <w:name w:val="HTML 预设格式 Char"/>
    <w:link w:val="46"/>
    <w:qFormat/>
    <w:uiPriority w:val="0"/>
    <w:rPr>
      <w:rFonts w:ascii="Courier New" w:hAnsi="Courier New" w:eastAsia="MS Mincho"/>
      <w:lang w:eastAsia="ja-JP"/>
    </w:rPr>
  </w:style>
  <w:style w:type="character" w:customStyle="1" w:styleId="100">
    <w:name w:val="HTML 预设格式 Char1"/>
    <w:basedOn w:val="54"/>
    <w:semiHidden/>
    <w:qFormat/>
    <w:uiPriority w:val="99"/>
    <w:rPr>
      <w:rFonts w:ascii="Courier New" w:hAnsi="Courier New" w:eastAsia="宋体" w:cs="Courier New"/>
      <w:sz w:val="20"/>
      <w:szCs w:val="20"/>
    </w:rPr>
  </w:style>
  <w:style w:type="character" w:customStyle="1" w:styleId="101">
    <w:name w:val="信息标题 Char"/>
    <w:link w:val="45"/>
    <w:qFormat/>
    <w:uiPriority w:val="0"/>
    <w:rPr>
      <w:rFonts w:ascii="Arial" w:hAnsi="Arial" w:eastAsia="MS Mincho"/>
      <w:sz w:val="24"/>
      <w:szCs w:val="24"/>
      <w:shd w:val="pct20" w:color="auto" w:fill="auto"/>
      <w:lang w:eastAsia="ja-JP"/>
    </w:rPr>
  </w:style>
  <w:style w:type="character" w:customStyle="1" w:styleId="102">
    <w:name w:val="信息标题 Char1"/>
    <w:basedOn w:val="54"/>
    <w:semiHidden/>
    <w:qFormat/>
    <w:uiPriority w:val="99"/>
    <w:rPr>
      <w:rFonts w:asciiTheme="majorHAnsi" w:hAnsiTheme="majorHAnsi" w:eastAsiaTheme="majorEastAsia" w:cstheme="majorBidi"/>
      <w:sz w:val="24"/>
      <w:szCs w:val="24"/>
      <w:shd w:val="pct20" w:color="auto" w:fill="auto"/>
    </w:rPr>
  </w:style>
  <w:style w:type="character" w:customStyle="1" w:styleId="103">
    <w:name w:val="称呼 Char"/>
    <w:link w:val="16"/>
    <w:qFormat/>
    <w:uiPriority w:val="0"/>
    <w:rPr>
      <w:rFonts w:eastAsia="MS Mincho"/>
      <w:sz w:val="24"/>
      <w:szCs w:val="24"/>
      <w:lang w:eastAsia="ja-JP"/>
    </w:rPr>
  </w:style>
  <w:style w:type="character" w:customStyle="1" w:styleId="104">
    <w:name w:val="称呼 Char1"/>
    <w:basedOn w:val="54"/>
    <w:semiHidden/>
    <w:qFormat/>
    <w:uiPriority w:val="99"/>
    <w:rPr>
      <w:rFonts w:ascii="Calibri" w:hAnsi="Calibri" w:eastAsia="宋体" w:cs="Times New Roman"/>
    </w:rPr>
  </w:style>
  <w:style w:type="character" w:customStyle="1" w:styleId="105">
    <w:name w:val="注释标题 Char"/>
    <w:basedOn w:val="54"/>
    <w:link w:val="12"/>
    <w:qFormat/>
    <w:uiPriority w:val="0"/>
    <w:rPr>
      <w:rFonts w:ascii="Times New Roman" w:hAnsi="Times New Roman" w:eastAsia="MS Mincho" w:cs="Times New Roman"/>
      <w:kern w:val="0"/>
      <w:sz w:val="24"/>
      <w:szCs w:val="24"/>
      <w:lang w:val="en-GB" w:eastAsia="ja-JP"/>
    </w:rPr>
  </w:style>
  <w:style w:type="character" w:customStyle="1" w:styleId="106">
    <w:name w:val="结束语 Char"/>
    <w:link w:val="18"/>
    <w:qFormat/>
    <w:uiPriority w:val="0"/>
    <w:rPr>
      <w:rFonts w:eastAsia="MS Mincho"/>
      <w:sz w:val="24"/>
      <w:szCs w:val="24"/>
      <w:lang w:eastAsia="ja-JP"/>
    </w:rPr>
  </w:style>
  <w:style w:type="character" w:customStyle="1" w:styleId="107">
    <w:name w:val="结束语 Char1"/>
    <w:basedOn w:val="54"/>
    <w:semiHidden/>
    <w:qFormat/>
    <w:uiPriority w:val="99"/>
    <w:rPr>
      <w:rFonts w:ascii="Calibri" w:hAnsi="Calibri" w:eastAsia="宋体" w:cs="Times New Roman"/>
    </w:rPr>
  </w:style>
  <w:style w:type="character" w:customStyle="1" w:styleId="108">
    <w:name w:val="签名 Char"/>
    <w:link w:val="32"/>
    <w:qFormat/>
    <w:uiPriority w:val="0"/>
    <w:rPr>
      <w:rFonts w:eastAsia="MS Mincho"/>
      <w:sz w:val="24"/>
      <w:szCs w:val="24"/>
      <w:lang w:eastAsia="ja-JP"/>
    </w:rPr>
  </w:style>
  <w:style w:type="character" w:customStyle="1" w:styleId="109">
    <w:name w:val="签名 Char1"/>
    <w:basedOn w:val="54"/>
    <w:semiHidden/>
    <w:qFormat/>
    <w:uiPriority w:val="99"/>
    <w:rPr>
      <w:rFonts w:ascii="Calibri" w:hAnsi="Calibri" w:eastAsia="宋体" w:cs="Times New Roman"/>
    </w:rPr>
  </w:style>
  <w:style w:type="character" w:customStyle="1" w:styleId="110">
    <w:name w:val="电子邮件签名 Char"/>
    <w:link w:val="13"/>
    <w:qFormat/>
    <w:uiPriority w:val="0"/>
    <w:rPr>
      <w:rFonts w:eastAsia="MS Mincho"/>
      <w:sz w:val="24"/>
      <w:szCs w:val="24"/>
      <w:lang w:eastAsia="ja-JP"/>
    </w:rPr>
  </w:style>
  <w:style w:type="character" w:customStyle="1" w:styleId="111">
    <w:name w:val="电子邮件签名 Char1"/>
    <w:basedOn w:val="54"/>
    <w:semiHidden/>
    <w:qFormat/>
    <w:uiPriority w:val="99"/>
    <w:rPr>
      <w:rFonts w:ascii="Calibri" w:hAnsi="Calibri" w:eastAsia="宋体" w:cs="Times New Roman"/>
    </w:rPr>
  </w:style>
  <w:style w:type="character" w:customStyle="1" w:styleId="112">
    <w:name w:val="标题 Char"/>
    <w:basedOn w:val="54"/>
    <w:link w:val="48"/>
    <w:qFormat/>
    <w:uiPriority w:val="10"/>
    <w:rPr>
      <w:rFonts w:ascii="Arial" w:hAnsi="Arial" w:eastAsia="MS Gothic" w:cs="Arial"/>
      <w:kern w:val="0"/>
      <w:sz w:val="32"/>
      <w:szCs w:val="32"/>
      <w:lang w:val="en-GB" w:eastAsia="ja-JP"/>
    </w:rPr>
  </w:style>
  <w:style w:type="character" w:customStyle="1" w:styleId="113">
    <w:name w:val="副标题 Char"/>
    <w:basedOn w:val="54"/>
    <w:link w:val="37"/>
    <w:qFormat/>
    <w:uiPriority w:val="0"/>
    <w:rPr>
      <w:rFonts w:ascii="Arial" w:hAnsi="Arial" w:eastAsia="MS Gothic" w:cs="Arial"/>
      <w:kern w:val="0"/>
      <w:sz w:val="24"/>
      <w:szCs w:val="24"/>
      <w:lang w:val="en-GB" w:eastAsia="ja-JP"/>
    </w:rPr>
  </w:style>
  <w:style w:type="character" w:customStyle="1" w:styleId="114">
    <w:name w:val="正文文本 3 Char"/>
    <w:link w:val="17"/>
    <w:qFormat/>
    <w:uiPriority w:val="0"/>
    <w:rPr>
      <w:rFonts w:eastAsia="MS Mincho"/>
      <w:sz w:val="16"/>
      <w:szCs w:val="16"/>
      <w:lang w:eastAsia="ja-JP"/>
    </w:rPr>
  </w:style>
  <w:style w:type="character" w:customStyle="1" w:styleId="115">
    <w:name w:val="正文文本 3 Char1"/>
    <w:basedOn w:val="54"/>
    <w:semiHidden/>
    <w:qFormat/>
    <w:uiPriority w:val="99"/>
    <w:rPr>
      <w:rFonts w:ascii="Calibri" w:hAnsi="Calibri" w:eastAsia="宋体" w:cs="Times New Roman"/>
      <w:sz w:val="16"/>
      <w:szCs w:val="16"/>
    </w:rPr>
  </w:style>
  <w:style w:type="character" w:customStyle="1" w:styleId="116">
    <w:name w:val="正文文本缩进 Char"/>
    <w:basedOn w:val="54"/>
    <w:link w:val="20"/>
    <w:qFormat/>
    <w:uiPriority w:val="0"/>
    <w:rPr>
      <w:rFonts w:ascii="Times New Roman" w:hAnsi="Times New Roman" w:eastAsia="MS Mincho" w:cs="Times New Roman"/>
      <w:kern w:val="0"/>
      <w:sz w:val="24"/>
      <w:szCs w:val="24"/>
      <w:lang w:val="en-GB" w:eastAsia="ja-JP"/>
    </w:rPr>
  </w:style>
  <w:style w:type="character" w:customStyle="1" w:styleId="117">
    <w:name w:val="正文文本缩进 2 Char"/>
    <w:basedOn w:val="54"/>
    <w:link w:val="27"/>
    <w:qFormat/>
    <w:uiPriority w:val="0"/>
    <w:rPr>
      <w:rFonts w:ascii="Times New Roman" w:hAnsi="Times New Roman" w:eastAsia="MS Mincho" w:cs="Times New Roman"/>
      <w:kern w:val="0"/>
      <w:sz w:val="24"/>
      <w:szCs w:val="24"/>
      <w:lang w:val="en-GB" w:eastAsia="ja-JP"/>
    </w:rPr>
  </w:style>
  <w:style w:type="character" w:customStyle="1" w:styleId="118">
    <w:name w:val="正文文本缩进 3 Char"/>
    <w:basedOn w:val="54"/>
    <w:link w:val="41"/>
    <w:qFormat/>
    <w:uiPriority w:val="0"/>
    <w:rPr>
      <w:rFonts w:ascii="Times New Roman" w:hAnsi="Times New Roman" w:eastAsia="MS Mincho" w:cs="Times New Roman"/>
      <w:kern w:val="0"/>
      <w:sz w:val="16"/>
      <w:szCs w:val="16"/>
      <w:lang w:val="en-GB" w:eastAsia="ja-JP"/>
    </w:rPr>
  </w:style>
  <w:style w:type="character" w:customStyle="1" w:styleId="119">
    <w:name w:val="正文首行缩进 Char"/>
    <w:basedOn w:val="81"/>
    <w:link w:val="50"/>
    <w:qFormat/>
    <w:uiPriority w:val="0"/>
    <w:rPr>
      <w:rFonts w:ascii="Calibri" w:hAnsi="Calibri" w:eastAsia="宋体" w:cs="Times New Roman"/>
    </w:rPr>
  </w:style>
  <w:style w:type="character" w:customStyle="1" w:styleId="120">
    <w:name w:val="正文首行缩进 Char1"/>
    <w:basedOn w:val="81"/>
    <w:semiHidden/>
    <w:qFormat/>
    <w:uiPriority w:val="99"/>
    <w:rPr>
      <w:rFonts w:ascii="Calibri" w:hAnsi="Calibri" w:eastAsia="宋体" w:cs="Times New Roman"/>
    </w:rPr>
  </w:style>
  <w:style w:type="character" w:customStyle="1" w:styleId="121">
    <w:name w:val="正文首行缩进 2 Char"/>
    <w:basedOn w:val="116"/>
    <w:link w:val="51"/>
    <w:qFormat/>
    <w:uiPriority w:val="0"/>
    <w:rPr>
      <w:rFonts w:ascii="Times New Roman" w:hAnsi="Times New Roman" w:eastAsia="MS Mincho" w:cs="Times New Roman"/>
      <w:kern w:val="0"/>
      <w:sz w:val="24"/>
      <w:szCs w:val="24"/>
      <w:lang w:val="en-GB" w:eastAsia="ja-JP"/>
    </w:rPr>
  </w:style>
  <w:style w:type="paragraph" w:customStyle="1" w:styleId="122">
    <w:name w:val="a2"/>
    <w:basedOn w:val="3"/>
    <w:next w:val="1"/>
    <w:qFormat/>
    <w:uiPriority w:val="0"/>
    <w:pPr>
      <w:keepNext/>
      <w:tabs>
        <w:tab w:val="left" w:pos="360"/>
        <w:tab w:val="left" w:pos="500"/>
        <w:tab w:val="left" w:pos="720"/>
      </w:tabs>
      <w:suppressAutoHyphens/>
      <w:spacing w:before="270" w:after="240" w:line="270" w:lineRule="exact"/>
      <w:ind w:left="0"/>
    </w:pPr>
    <w:rPr>
      <w:rFonts w:ascii="Times New Roman" w:hAnsi="Times New Roman" w:eastAsia="MS Mincho" w:cs="Times New Roman"/>
      <w:bCs w:val="0"/>
      <w:iCs/>
      <w:smallCaps/>
      <w:sz w:val="24"/>
      <w:szCs w:val="20"/>
      <w:lang w:eastAsia="ja-JP"/>
    </w:rPr>
  </w:style>
  <w:style w:type="paragraph" w:customStyle="1" w:styleId="123">
    <w:name w:val="a3"/>
    <w:basedOn w:val="4"/>
    <w:next w:val="1"/>
    <w:qFormat/>
    <w:uiPriority w:val="0"/>
    <w:pPr>
      <w:keepNext/>
      <w:tabs>
        <w:tab w:val="left" w:pos="640"/>
        <w:tab w:val="left" w:pos="720"/>
        <w:tab w:val="left" w:pos="880"/>
      </w:tabs>
      <w:suppressAutoHyphens/>
      <w:spacing w:before="60" w:after="240" w:line="250" w:lineRule="exact"/>
      <w:ind w:left="0"/>
    </w:pPr>
    <w:rPr>
      <w:rFonts w:ascii="Times New Roman" w:hAnsi="Times New Roman" w:eastAsia="MS Mincho" w:cs="Times New Roman"/>
      <w:bCs w:val="0"/>
      <w:sz w:val="24"/>
      <w:szCs w:val="20"/>
      <w:lang w:eastAsia="ja-JP"/>
    </w:rPr>
  </w:style>
  <w:style w:type="paragraph" w:customStyle="1" w:styleId="124">
    <w:name w:val="a4"/>
    <w:basedOn w:val="5"/>
    <w:next w:val="1"/>
    <w:qFormat/>
    <w:uiPriority w:val="0"/>
    <w:pPr>
      <w:keepLines w:val="0"/>
      <w:widowControl/>
      <w:tabs>
        <w:tab w:val="left" w:pos="880"/>
        <w:tab w:val="left" w:pos="1080"/>
      </w:tabs>
      <w:suppressAutoHyphens/>
      <w:spacing w:before="60" w:after="240" w:line="230" w:lineRule="exact"/>
      <w:jc w:val="left"/>
    </w:pPr>
    <w:rPr>
      <w:rFonts w:ascii="Times New Roman" w:hAnsi="Times New Roman" w:eastAsia="MS Mincho"/>
      <w:bCs w:val="0"/>
      <w:kern w:val="0"/>
      <w:sz w:val="20"/>
      <w:szCs w:val="20"/>
      <w:lang w:val="en-GB" w:eastAsia="ja-JP"/>
    </w:rPr>
  </w:style>
  <w:style w:type="paragraph" w:customStyle="1" w:styleId="125">
    <w:name w:val="a5"/>
    <w:basedOn w:val="6"/>
    <w:next w:val="1"/>
    <w:qFormat/>
    <w:uiPriority w:val="0"/>
    <w:pPr>
      <w:keepNext/>
      <w:tabs>
        <w:tab w:val="left" w:pos="1080"/>
        <w:tab w:val="left" w:pos="1140"/>
        <w:tab w:val="left" w:pos="1360"/>
      </w:tabs>
      <w:suppressAutoHyphens/>
      <w:spacing w:before="60" w:after="240" w:line="230" w:lineRule="exact"/>
      <w:ind w:left="0"/>
    </w:pPr>
    <w:rPr>
      <w:rFonts w:ascii="Times New Roman" w:hAnsi="Times New Roman" w:eastAsia="MS Mincho"/>
      <w:b/>
      <w:bCs w:val="0"/>
      <w:i w:val="0"/>
      <w:iCs w:val="0"/>
      <w:sz w:val="20"/>
      <w:szCs w:val="20"/>
      <w:lang w:eastAsia="ja-JP"/>
    </w:rPr>
  </w:style>
  <w:style w:type="paragraph" w:customStyle="1" w:styleId="126">
    <w:name w:val="a6"/>
    <w:basedOn w:val="7"/>
    <w:next w:val="1"/>
    <w:qFormat/>
    <w:uiPriority w:val="0"/>
    <w:pPr>
      <w:keepNext/>
      <w:tabs>
        <w:tab w:val="left" w:pos="1140"/>
        <w:tab w:val="left" w:pos="1360"/>
        <w:tab w:val="left" w:pos="1440"/>
      </w:tabs>
      <w:suppressAutoHyphens/>
      <w:spacing w:before="60" w:after="240" w:line="230" w:lineRule="exact"/>
      <w:ind w:left="0"/>
    </w:pPr>
    <w:rPr>
      <w:rFonts w:ascii="Times New Roman" w:hAnsi="Times New Roman" w:eastAsia="MS Mincho"/>
      <w:b/>
      <w:bCs w:val="0"/>
      <w:sz w:val="20"/>
      <w:szCs w:val="20"/>
      <w:lang w:eastAsia="ja-JP"/>
    </w:rPr>
  </w:style>
  <w:style w:type="paragraph" w:customStyle="1" w:styleId="127">
    <w:name w:val="ANNEX"/>
    <w:basedOn w:val="1"/>
    <w:next w:val="1"/>
    <w:qFormat/>
    <w:uiPriority w:val="0"/>
    <w:pPr>
      <w:keepNext/>
      <w:pageBreakBefore/>
      <w:widowControl/>
      <w:spacing w:after="760" w:line="310" w:lineRule="exact"/>
      <w:jc w:val="center"/>
      <w:outlineLvl w:val="0"/>
    </w:pPr>
    <w:rPr>
      <w:rFonts w:ascii="Arial" w:hAnsi="Arial" w:eastAsia="MS Mincho"/>
      <w:b/>
      <w:kern w:val="0"/>
      <w:sz w:val="28"/>
      <w:szCs w:val="20"/>
      <w:lang w:val="en-GB" w:eastAsia="ja-JP"/>
    </w:rPr>
  </w:style>
  <w:style w:type="paragraph" w:customStyle="1" w:styleId="128">
    <w:name w:val="列出段落1"/>
    <w:basedOn w:val="1"/>
    <w:qFormat/>
    <w:uiPriority w:val="0"/>
    <w:pPr>
      <w:widowControl/>
      <w:ind w:left="720"/>
    </w:pPr>
    <w:rPr>
      <w:rFonts w:ascii="Times New Roman" w:hAnsi="Times New Roman" w:eastAsia="MS Mincho"/>
      <w:kern w:val="0"/>
      <w:sz w:val="24"/>
      <w:szCs w:val="20"/>
      <w:lang w:val="en-GB" w:eastAsia="en-US"/>
    </w:rPr>
  </w:style>
  <w:style w:type="character" w:customStyle="1" w:styleId="129">
    <w:name w:val="批注文字 Char"/>
    <w:basedOn w:val="54"/>
    <w:link w:val="15"/>
    <w:semiHidden/>
    <w:qFormat/>
    <w:uiPriority w:val="0"/>
    <w:rPr>
      <w:rFonts w:ascii="Calibri" w:hAnsi="Calibri" w:eastAsia="宋体" w:cs="Times New Roman"/>
    </w:rPr>
  </w:style>
  <w:style w:type="character" w:customStyle="1" w:styleId="130">
    <w:name w:val="批注主题 Char"/>
    <w:basedOn w:val="129"/>
    <w:link w:val="49"/>
    <w:semiHidden/>
    <w:qFormat/>
    <w:uiPriority w:val="0"/>
    <w:rPr>
      <w:rFonts w:ascii="Calibri" w:hAnsi="Calibri" w:eastAsia="宋体" w:cs="Times New Roman"/>
      <w:b/>
      <w:bCs/>
    </w:rPr>
  </w:style>
  <w:style w:type="paragraph" w:customStyle="1" w:styleId="131">
    <w:name w:val="Char Char2 Char Char Char Char"/>
    <w:basedOn w:val="1"/>
    <w:qFormat/>
    <w:uiPriority w:val="0"/>
    <w:pPr>
      <w:widowControl/>
      <w:jc w:val="left"/>
    </w:pPr>
    <w:rPr>
      <w:rFonts w:ascii="Times New Roman" w:hAnsi="Times New Roman"/>
      <w:szCs w:val="20"/>
    </w:rPr>
  </w:style>
  <w:style w:type="character" w:customStyle="1" w:styleId="132">
    <w:name w:val="A2+11"/>
    <w:qFormat/>
    <w:uiPriority w:val="0"/>
    <w:rPr>
      <w:rFonts w:cs="黑体"/>
      <w:color w:val="000000"/>
      <w:sz w:val="32"/>
      <w:szCs w:val="32"/>
    </w:rPr>
  </w:style>
  <w:style w:type="character" w:customStyle="1" w:styleId="133">
    <w:name w:val="st1"/>
    <w:basedOn w:val="54"/>
    <w:qFormat/>
    <w:uiPriority w:val="0"/>
  </w:style>
  <w:style w:type="character" w:customStyle="1" w:styleId="134">
    <w:name w:val="Footer Char"/>
    <w:qFormat/>
    <w:locked/>
    <w:uiPriority w:val="0"/>
    <w:rPr>
      <w:rFonts w:eastAsia="宋体" w:cs="Times New Roman"/>
      <w:kern w:val="2"/>
      <w:sz w:val="18"/>
      <w:szCs w:val="18"/>
      <w:lang w:val="en-US" w:eastAsia="zh-CN" w:bidi="ar-SA"/>
    </w:rPr>
  </w:style>
  <w:style w:type="character" w:customStyle="1" w:styleId="135">
    <w:name w:val="普通文字 Char Char"/>
    <w:qFormat/>
    <w:uiPriority w:val="0"/>
    <w:rPr>
      <w:rFonts w:ascii="宋体" w:hAnsi="Courier New" w:eastAsia="宋体" w:cs="Courier New"/>
      <w:kern w:val="2"/>
      <w:sz w:val="21"/>
      <w:szCs w:val="21"/>
      <w:lang w:val="en-US" w:eastAsia="zh-CN" w:bidi="ar-SA"/>
    </w:rPr>
  </w:style>
  <w:style w:type="character" w:customStyle="1" w:styleId="136">
    <w:name w:val="普通文字 Char Char1"/>
    <w:qFormat/>
    <w:uiPriority w:val="0"/>
    <w:rPr>
      <w:rFonts w:ascii="MS Mincho" w:hAnsi="Courier New" w:eastAsia="MS Mincho" w:cs="Courier New"/>
      <w:sz w:val="21"/>
      <w:szCs w:val="21"/>
      <w:lang w:val="en-GB" w:eastAsia="ja-JP" w:bidi="ar-SA"/>
    </w:rPr>
  </w:style>
  <w:style w:type="paragraph" w:customStyle="1" w:styleId="137">
    <w:name w:val="Char"/>
    <w:basedOn w:val="1"/>
    <w:next w:val="1"/>
    <w:qFormat/>
    <w:uiPriority w:val="0"/>
    <w:pPr>
      <w:widowControl/>
      <w:spacing w:before="120" w:after="120"/>
      <w:jc w:val="left"/>
    </w:pPr>
    <w:rPr>
      <w:rFonts w:ascii="Times New Roman" w:hAnsi="Times New Roman"/>
      <w:szCs w:val="20"/>
    </w:rPr>
  </w:style>
  <w:style w:type="table" w:customStyle="1" w:styleId="138">
    <w:name w:val="网格型2"/>
    <w:basedOn w:val="52"/>
    <w:qFormat/>
    <w:uiPriority w:val="59"/>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
    <w:name w:val="label_list"/>
    <w:basedOn w:val="54"/>
    <w:qFormat/>
    <w:uiPriority w:val="0"/>
  </w:style>
  <w:style w:type="table" w:customStyle="1" w:styleId="140">
    <w:name w:val="网格型1"/>
    <w:basedOn w:val="52"/>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1">
    <w:name w:val="Header Char"/>
    <w:qFormat/>
    <w:locked/>
    <w:uiPriority w:val="0"/>
    <w:rPr>
      <w:rFonts w:cs="Times New Roman"/>
      <w:sz w:val="18"/>
      <w:szCs w:val="18"/>
    </w:rPr>
  </w:style>
  <w:style w:type="character" w:customStyle="1" w:styleId="142">
    <w:name w:val="尾注文本 Char"/>
    <w:basedOn w:val="54"/>
    <w:link w:val="28"/>
    <w:semiHidden/>
    <w:qFormat/>
    <w:uiPriority w:val="99"/>
    <w:rPr>
      <w:rFonts w:ascii="Calibri" w:hAnsi="Calibri" w:eastAsia="宋体" w:cs="Times New Roman"/>
    </w:rPr>
  </w:style>
  <w:style w:type="table" w:customStyle="1" w:styleId="143">
    <w:name w:val="网格型21"/>
    <w:basedOn w:val="5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引用 Char"/>
    <w:basedOn w:val="54"/>
    <w:link w:val="144"/>
    <w:qFormat/>
    <w:uiPriority w:val="29"/>
    <w:rPr>
      <w:i/>
      <w:iCs/>
      <w:color w:val="000000" w:themeColor="text1"/>
      <w14:textFill>
        <w14:solidFill>
          <w14:schemeClr w14:val="tx1"/>
        </w14:solidFill>
      </w14:textFill>
    </w:rPr>
  </w:style>
  <w:style w:type="paragraph" w:customStyle="1" w:styleId="146">
    <w:name w:val="TOC Heading"/>
    <w:basedOn w:val="2"/>
    <w:next w:val="1"/>
    <w:semiHidden/>
    <w:unhideWhenUsed/>
    <w:qFormat/>
    <w:uiPriority w:val="39"/>
    <w:pPr>
      <w:keepNext/>
      <w:keepLines/>
      <w:spacing w:before="480" w:after="0"/>
      <w:ind w:left="0"/>
      <w:outlineLvl w:val="9"/>
    </w:pPr>
    <w:rPr>
      <w:rFonts w:asciiTheme="majorHAnsi" w:hAnsiTheme="majorHAnsi" w:eastAsiaTheme="majorEastAsia" w:cstheme="majorBidi"/>
      <w:caps w:val="0"/>
      <w:color w:val="376092" w:themeColor="accent1" w:themeShade="BF"/>
      <w:kern w:val="0"/>
      <w:sz w:val="28"/>
      <w:szCs w:val="28"/>
      <w:lang w:val="en-US"/>
    </w:rPr>
  </w:style>
  <w:style w:type="character" w:customStyle="1" w:styleId="147">
    <w:name w:val="15"/>
    <w:basedOn w:val="54"/>
    <w:qFormat/>
    <w:uiPriority w:val="0"/>
    <w:rPr>
      <w:rFonts w:hint="default" w:ascii="Times New Roman" w:hAnsi="Times New Roman" w:cs="Times New Roman"/>
    </w:rPr>
  </w:style>
  <w:style w:type="character" w:customStyle="1" w:styleId="148">
    <w:name w:val="10"/>
    <w:basedOn w:val="54"/>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24007</Words>
  <Characters>28600</Characters>
  <Lines>1</Lines>
  <Paragraphs>1</Paragraphs>
  <TotalTime>5</TotalTime>
  <ScaleCrop>false</ScaleCrop>
  <LinksUpToDate>false</LinksUpToDate>
  <CharactersWithSpaces>29520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2019-05-27T17:31:00Z</dcterms:created>
  <dc:creator>王方园</dc:creator>
  <cp:lastModifiedBy>Bichun</cp:lastModifiedBy>
  <cp:lastPrinted>2018-03-30T23:28:00Z</cp:lastPrinted>
  <dcterms:modified xsi:type="dcterms:W3CDTF">2022-07-06T02:18:30Z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55941C51E72A4A64820AB619D25B5FB9</vt:lpwstr>
  </property>
</Properties>
</file>